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Default Extension="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C074">
      <w:pPr>
        <w:rPr>
          <w:rFonts w:hint="eastAsia" w:ascii="仿宋_GB2312" w:eastAsia="仿宋_GB2312" w:cs="ArialUnicodeMS"/>
          <w:kern w:val="0"/>
          <w:sz w:val="32"/>
          <w:szCs w:val="32"/>
        </w:rPr>
      </w:pPr>
    </w:p>
    <w:p w14:paraId="2239EADC">
      <w:pPr>
        <w:rPr>
          <w:rFonts w:hint="eastAsia" w:ascii="黑体" w:eastAsia="黑体" w:cs="ArialUnicodeMS"/>
          <w:kern w:val="0"/>
          <w:sz w:val="72"/>
          <w:szCs w:val="72"/>
        </w:rPr>
      </w:pPr>
    </w:p>
    <w:p w14:paraId="617D03E2">
      <w:pPr>
        <w:rPr>
          <w:rFonts w:hint="eastAsia" w:ascii="黑体" w:eastAsia="黑体" w:cs="ArialUnicodeMS"/>
          <w:kern w:val="0"/>
          <w:sz w:val="72"/>
          <w:szCs w:val="72"/>
        </w:rPr>
      </w:pPr>
    </w:p>
    <w:p w14:paraId="5E0D2080">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黑体" w:hAnsi="黑体" w:eastAsia="黑体"/>
          <w:bCs/>
          <w:color w:val="000000"/>
          <w:sz w:val="72"/>
          <w:szCs w:val="72"/>
          <w:u w:val="none"/>
          <w:lang w:val="en-US"/>
        </w:rPr>
      </w:pP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00" w:themeColor="text1"/>
          <w:kern w:val="0"/>
          <w:sz w:val="72"/>
          <w:szCs w:val="72"/>
          <w:u w:val="none"/>
          <w:shd w:val="clear" w:color="auto" w:fill="auto"/>
          <w:lang w:val="en-US" w:eastAsia="zh-CN"/>
          <w14:textFill>
            <w14:solidFill>
              <w14:schemeClr w14:val="tx1"/>
            </w14:solidFill>
          </w14:textFill>
        </w:rPr>
        <w:t>百色市群众工作服务中心</w:t>
      </w: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FF"/>
          <w:kern w:val="0"/>
          <w:sz w:val="72"/>
          <w:szCs w:val="72"/>
          <w:u w:val="none"/>
          <w:lang w:val="en-US" w:eastAsia="zh-CN"/>
        </w:rPr>
        <w:fldChar w:fldCharType="begin"/>
      </w:r>
      <w:r>
        <w:rPr>
          <w:rFonts w:hint="eastAsia" w:ascii="黑体" w:eastAsia="黑体" w:cs="ArialUnicodeMS"/>
          <w:color w:val="0000FF"/>
          <w:kern w:val="0"/>
          <w:sz w:val="72"/>
          <w:szCs w:val="72"/>
          <w:u w:val="none"/>
          <w:lang w:val="en-US" w:eastAsia="zh-CN"/>
        </w:rPr>
        <w:instrText xml:space="preserve">  </w:instrText>
      </w:r>
      <w:r>
        <w:rPr>
          <w:rFonts w:hint="eastAsia" w:ascii="黑体" w:eastAsia="黑体" w:cs="ArialUnicodeMS"/>
          <w:color w:val="0000FF"/>
          <w:kern w:val="0"/>
          <w:sz w:val="72"/>
          <w:szCs w:val="72"/>
          <w:u w:val="none"/>
          <w:lang w:val="en-US" w:eastAsia="zh-CN"/>
        </w:rPr>
        <w:fldChar w:fldCharType="end"/>
      </w:r>
    </w:p>
    <w:p w14:paraId="4C42D882">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黑体" w:eastAsia="黑体" w:cs="ArialUnicodeMS"/>
          <w:color w:val="auto"/>
          <w:kern w:val="0"/>
          <w:sz w:val="72"/>
          <w:szCs w:val="72"/>
        </w:rPr>
      </w:pPr>
      <w:r>
        <w:rPr>
          <w:rFonts w:hint="eastAsia" w:ascii="黑体" w:eastAsia="黑体"/>
          <w:color w:val="000000" w:themeColor="text1"/>
          <w:kern w:val="0"/>
          <w:sz w:val="72"/>
          <w:szCs w:val="72"/>
          <w:u w:val="none"/>
          <w:lang w:val="en-US" w:eastAsia="zh-CN"/>
          <w14:textFill>
            <w14:solidFill>
              <w14:schemeClr w14:val="tx1"/>
            </w14:solidFill>
          </w14:textFill>
        </w:rPr>
        <w:t>2024</w:t>
      </w:r>
      <w:r>
        <w:rPr>
          <w:rFonts w:hint="eastAsia" w:ascii="黑体" w:eastAsia="黑体" w:cs="ArialUnicodeMS"/>
          <w:kern w:val="0"/>
          <w:sz w:val="72"/>
          <w:szCs w:val="72"/>
        </w:rPr>
        <w:t>年</w:t>
      </w:r>
      <w:r>
        <w:rPr>
          <w:rFonts w:hint="eastAsia" w:ascii="黑体" w:eastAsia="黑体" w:cs="ArialUnicodeMS"/>
          <w:kern w:val="0"/>
          <w:sz w:val="72"/>
          <w:szCs w:val="72"/>
          <w:lang w:val="en-US" w:eastAsia="zh-CN"/>
        </w:rPr>
        <w:t>度</w:t>
      </w:r>
      <w:r>
        <w:rPr>
          <w:rFonts w:hint="eastAsia" w:ascii="黑体" w:eastAsia="黑体" w:cs="ArialUnicodeMS"/>
          <w:kern w:val="0"/>
          <w:sz w:val="72"/>
          <w:szCs w:val="72"/>
          <w:lang w:val="en-US" w:eastAsia="zh-CN"/>
        </w:rPr>
        <w:t/>
      </w:r>
      <w:r>
        <w:rPr>
          <w:rFonts w:hint="eastAsia" w:ascii="黑体" w:eastAsia="黑体" w:cs="ArialUnicodeMS"/>
          <w:kern w:val="0"/>
          <w:sz w:val="72"/>
          <w:szCs w:val="72"/>
          <w:lang w:val="en-US" w:eastAsia="zh-CN"/>
        </w:rPr>
        <w:t>单位</w:t>
      </w:r>
      <w:r>
        <w:rPr>
          <w:rFonts w:hint="eastAsia" w:ascii="黑体" w:eastAsia="黑体" w:cs="ArialUnicodeMS"/>
          <w:kern w:val="0"/>
          <w:sz w:val="72"/>
          <w:szCs w:val="72"/>
          <w:lang w:val="en-US" w:eastAsia="zh-CN"/>
        </w:rPr>
        <w:t/>
      </w:r>
      <w:r>
        <w:rPr>
          <w:rFonts w:hint="eastAsia" w:ascii="黑体" w:eastAsia="黑体" w:cs="ArialUnicodeMS"/>
          <w:kern w:val="0"/>
          <w:sz w:val="72"/>
          <w:szCs w:val="72"/>
          <w:lang w:val="en-US" w:eastAsia="zh-CN"/>
        </w:rPr>
        <w:t/>
      </w:r>
      <w:r>
        <w:rPr>
          <w:rFonts w:hint="eastAsia" w:ascii="黑体" w:eastAsia="黑体" w:cs="ArialUnicodeMS"/>
          <w:kern w:val="0"/>
          <w:sz w:val="72"/>
          <w:szCs w:val="72"/>
        </w:rPr>
        <w:t>决算</w:t>
      </w:r>
    </w:p>
    <w:p w14:paraId="6775DC3F">
      <w:pPr>
        <w:rPr>
          <w:rFonts w:hint="eastAsia" w:ascii="ArialUnicodeMS" w:eastAsia="ArialUnicodeMS" w:cs="ArialUnicodeMS"/>
          <w:kern w:val="0"/>
          <w:sz w:val="84"/>
          <w:szCs w:val="84"/>
        </w:rPr>
      </w:pPr>
    </w:p>
    <w:p w14:paraId="55EEA8F9">
      <w:pPr>
        <w:rPr>
          <w:rFonts w:hint="eastAsia" w:ascii="ArialUnicodeMS" w:eastAsia="ArialUnicodeMS" w:cs="ArialUnicodeMS"/>
          <w:kern w:val="0"/>
          <w:sz w:val="84"/>
          <w:szCs w:val="84"/>
        </w:rPr>
      </w:pPr>
    </w:p>
    <w:p w14:paraId="6EABFD9D">
      <w:pPr>
        <w:rPr>
          <w:rFonts w:hint="eastAsia" w:ascii="方正小标宋简体" w:eastAsia="方正小标宋简体"/>
          <w:b/>
          <w:sz w:val="44"/>
          <w:szCs w:val="44"/>
        </w:rPr>
      </w:pPr>
      <w:r>
        <w:rPr>
          <w:rFonts w:hint="eastAsia" w:ascii="方正小标宋简体" w:eastAsia="方正小标宋简体"/>
          <w:b/>
          <w:sz w:val="44"/>
          <w:szCs w:val="44"/>
        </w:rPr>
        <w:br w:type="page"/>
      </w:r>
    </w:p>
    <w:p w14:paraId="663CDE33">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4C7E7F5D">
      <w:pPr>
        <w:rPr>
          <w:rFonts w:hint="eastAsia" w:ascii="仿宋_GB2312" w:eastAsia="仿宋_GB2312"/>
          <w:b/>
          <w:sz w:val="32"/>
          <w:szCs w:val="32"/>
        </w:rPr>
      </w:pPr>
    </w:p>
    <w:p w14:paraId="69164A39">
      <w:pPr>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183D9048">
      <w:pPr>
        <w:ind w:firstLine="645"/>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本部门职责</w:t>
      </w:r>
    </w:p>
    <w:p w14:paraId="1C9AADE2">
      <w:pPr>
        <w:ind w:firstLine="645"/>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机构设置情况</w:t>
      </w:r>
    </w:p>
    <w:p w14:paraId="0704B045">
      <w:pPr>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年度部门决算报表</w:t>
      </w:r>
    </w:p>
    <w:p w14:paraId="45CAED70">
      <w:pPr>
        <w:ind w:left="645"/>
        <w:rPr>
          <w:rFonts w:hint="eastAsia" w:ascii="仿宋_GB2312" w:eastAsia="仿宋_GB2312"/>
          <w:sz w:val="32"/>
          <w:szCs w:val="32"/>
        </w:rPr>
      </w:pPr>
      <w:r>
        <w:rPr>
          <w:rFonts w:hint="eastAsia" w:ascii="仿宋_GB2312" w:eastAsia="仿宋_GB2312"/>
          <w:sz w:val="32"/>
          <w:szCs w:val="32"/>
        </w:rPr>
        <w:t>表一：收入支出决算总表</w:t>
      </w:r>
    </w:p>
    <w:p w14:paraId="0AA170FF">
      <w:pPr>
        <w:ind w:left="645"/>
        <w:rPr>
          <w:rFonts w:hint="eastAsia" w:ascii="仿宋_GB2312" w:eastAsia="仿宋_GB2312"/>
          <w:sz w:val="32"/>
          <w:szCs w:val="32"/>
        </w:rPr>
      </w:pPr>
      <w:r>
        <w:rPr>
          <w:rFonts w:hint="eastAsia" w:ascii="仿宋_GB2312" w:eastAsia="仿宋_GB2312"/>
          <w:sz w:val="32"/>
          <w:szCs w:val="32"/>
        </w:rPr>
        <w:t>表二：收入决算表</w:t>
      </w:r>
    </w:p>
    <w:p w14:paraId="7E5980B8">
      <w:pPr>
        <w:ind w:left="645"/>
        <w:rPr>
          <w:rFonts w:hint="eastAsia" w:ascii="仿宋_GB2312" w:eastAsia="仿宋_GB2312"/>
          <w:sz w:val="32"/>
          <w:szCs w:val="32"/>
        </w:rPr>
      </w:pPr>
      <w:r>
        <w:rPr>
          <w:rFonts w:hint="eastAsia" w:ascii="仿宋_GB2312" w:eastAsia="仿宋_GB2312"/>
          <w:sz w:val="32"/>
          <w:szCs w:val="32"/>
        </w:rPr>
        <w:t>表三：支出决算表</w:t>
      </w:r>
    </w:p>
    <w:p w14:paraId="74007B5B">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73CB3443">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2843A84C">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p>
    <w:p w14:paraId="6DCA71AD">
      <w:pPr>
        <w:ind w:left="645"/>
        <w:rPr>
          <w:rFonts w:hint="eastAsia" w:ascii="仿宋_GB2312" w:eastAsia="仿宋_GB2312"/>
          <w:sz w:val="32"/>
          <w:szCs w:val="32"/>
        </w:rPr>
      </w:pPr>
      <w:r>
        <w:rPr>
          <w:rFonts w:hint="eastAsia" w:ascii="仿宋_GB2312" w:eastAsia="仿宋_GB2312"/>
          <w:sz w:val="32"/>
          <w:szCs w:val="32"/>
        </w:rPr>
        <w:t>表七：</w:t>
      </w:r>
      <w:r>
        <w:rPr>
          <w:rFonts w:hint="eastAsia" w:ascii="仿宋_GB2312" w:eastAsia="仿宋_GB2312"/>
          <w:sz w:val="32"/>
          <w:szCs w:val="32"/>
          <w:lang w:val="en-US" w:eastAsia="zh-CN"/>
        </w:rPr>
        <w:t>政府性基金预算财政拨款收入</w:t>
      </w:r>
      <w:r>
        <w:rPr>
          <w:rFonts w:hint="eastAsia" w:ascii="仿宋_GB2312" w:eastAsia="仿宋_GB2312"/>
          <w:sz w:val="32"/>
          <w:szCs w:val="32"/>
        </w:rPr>
        <w:t>支出决算表</w:t>
      </w:r>
    </w:p>
    <w:p w14:paraId="2A0B985B">
      <w:pPr>
        <w:ind w:left="645"/>
        <w:rPr>
          <w:rFonts w:hint="eastAsia" w:ascii="仿宋_GB2312" w:eastAsia="仿宋_GB2312"/>
          <w:sz w:val="32"/>
          <w:szCs w:val="32"/>
        </w:rPr>
      </w:pPr>
      <w:r>
        <w:rPr>
          <w:rFonts w:hint="eastAsia" w:ascii="仿宋_GB2312" w:eastAsia="仿宋_GB2312"/>
          <w:sz w:val="32"/>
          <w:szCs w:val="32"/>
        </w:rPr>
        <w:t>表八：</w:t>
      </w:r>
      <w:r>
        <w:rPr>
          <w:rFonts w:hint="eastAsia" w:ascii="仿宋_GB2312" w:eastAsia="仿宋_GB2312"/>
          <w:sz w:val="32"/>
          <w:szCs w:val="32"/>
          <w:lang w:val="en-US" w:eastAsia="zh-CN"/>
        </w:rPr>
        <w:t>国有资本经营预算财政拨款</w:t>
      </w:r>
      <w:r>
        <w:rPr>
          <w:rFonts w:hint="eastAsia" w:ascii="仿宋_GB2312" w:eastAsia="仿宋_GB2312"/>
          <w:sz w:val="32"/>
          <w:szCs w:val="32"/>
        </w:rPr>
        <w:t>支出决算表</w:t>
      </w:r>
    </w:p>
    <w:p w14:paraId="4E525795">
      <w:pPr>
        <w:ind w:left="645"/>
        <w:rPr>
          <w:rFonts w:hint="eastAsia" w:ascii="仿宋_GB2312" w:eastAsia="仿宋_GB2312"/>
          <w:sz w:val="32"/>
          <w:szCs w:val="32"/>
        </w:rPr>
      </w:pPr>
      <w:r>
        <w:rPr>
          <w:rFonts w:hint="eastAsia" w:ascii="仿宋_GB2312" w:eastAsia="仿宋_GB2312"/>
          <w:sz w:val="32"/>
          <w:szCs w:val="32"/>
        </w:rPr>
        <w:t>表九：</w:t>
      </w:r>
      <w:r>
        <w:rPr>
          <w:rFonts w:hint="eastAsia" w:ascii="仿宋_GB2312" w:eastAsia="仿宋_GB2312"/>
          <w:sz w:val="32"/>
          <w:szCs w:val="32"/>
          <w:lang w:val="en-US" w:eastAsia="zh-CN"/>
        </w:rPr>
        <w:t>财政拨款“三公”经费</w:t>
      </w:r>
      <w:r>
        <w:rPr>
          <w:rFonts w:hint="eastAsia" w:ascii="仿宋_GB2312" w:eastAsia="仿宋_GB2312"/>
          <w:sz w:val="32"/>
          <w:szCs w:val="32"/>
        </w:rPr>
        <w:t>支出决算表</w:t>
      </w:r>
    </w:p>
    <w:p w14:paraId="7ECA1D80">
      <w:pPr>
        <w:rPr>
          <w:rFonts w:hint="eastAsia" w:ascii="仿宋_GB2312" w:eastAsia="仿宋_GB2312"/>
          <w:sz w:val="32"/>
          <w:szCs w:val="32"/>
        </w:rPr>
      </w:pPr>
    </w:p>
    <w:p w14:paraId="51E172C9">
      <w:pPr>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年度部门决算情况说明</w:t>
      </w:r>
    </w:p>
    <w:p w14:paraId="0E8B8BA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年度收入支出决算总体情况。</w:t>
      </w:r>
    </w:p>
    <w:p w14:paraId="68457B4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olor w:val="000000" w:themeColor="text1"/>
          <w:kern w:val="0"/>
          <w:sz w:val="32"/>
          <w:szCs w:val="32"/>
          <w:u w:val="none"/>
          <w:lang w:val="en-US" w:eastAsia="zh-CN"/>
          <w14:textFill>
            <w14:solidFill>
              <w14:schemeClr w14:val="tx1"/>
            </w14:solidFill>
          </w14:textFill>
        </w:rPr>
        <w:t>年度一般公共预算财政拨款支出决算情况</w:t>
      </w:r>
      <w:r>
        <w:rPr>
          <w:rFonts w:hint="eastAsia" w:ascii="仿宋_GB2312" w:eastAsia="仿宋_GB2312" w:cs="仿宋_GB2312"/>
          <w:kern w:val="0"/>
          <w:sz w:val="32"/>
          <w:szCs w:val="32"/>
        </w:rPr>
        <w:t>。</w:t>
      </w:r>
    </w:p>
    <w:p w14:paraId="1F98AE47">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年度一般公共预算财政拨款基本支出决算情况说明。</w:t>
      </w:r>
    </w:p>
    <w:p w14:paraId="5B52E42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年度政府性基金支出决算情况。</w:t>
      </w:r>
    </w:p>
    <w:p w14:paraId="560EB32E">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olor w:val="000000" w:themeColor="text1"/>
          <w:kern w:val="0"/>
          <w:sz w:val="32"/>
          <w:szCs w:val="32"/>
          <w:u w:val="none"/>
          <w:lang w:val="en-US" w:eastAsia="zh-CN"/>
          <w14:textFill>
            <w14:solidFill>
              <w14:schemeClr w14:val="tx1"/>
            </w14:solidFill>
          </w14:textFill>
        </w:rPr>
        <w:t>年度国有资本经营预算支出决算情况</w:t>
      </w:r>
      <w:r>
        <w:rPr>
          <w:rFonts w:hint="eastAsia" w:ascii="仿宋_GB2312" w:eastAsia="仿宋_GB2312" w:cs="仿宋_GB2312"/>
          <w:kern w:val="0"/>
          <w:sz w:val="32"/>
          <w:szCs w:val="32"/>
          <w:lang w:eastAsia="zh-CN"/>
        </w:rPr>
        <w:t>。</w:t>
      </w:r>
    </w:p>
    <w:p w14:paraId="662CDA1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color w:val="000000" w:themeColor="text1"/>
          <w:kern w:val="0"/>
          <w:sz w:val="32"/>
          <w:szCs w:val="32"/>
          <w:u w:val="none"/>
          <w:lang w:val="en-US" w:eastAsia="zh-CN"/>
          <w14:textFill>
            <w14:solidFill>
              <w14:schemeClr w14:val="tx1"/>
            </w14:solidFill>
          </w14:textFill>
        </w:rPr>
        <w:t>财政拨款安排的“三公”经费支出决算情况说明</w:t>
      </w:r>
      <w:r>
        <w:rPr>
          <w:rFonts w:hint="eastAsia" w:ascii="仿宋_GB2312" w:eastAsia="仿宋_GB2312" w:cs="仿宋_GB2312"/>
          <w:kern w:val="0"/>
          <w:sz w:val="32"/>
          <w:szCs w:val="32"/>
        </w:rPr>
        <w:t>。</w:t>
      </w:r>
    </w:p>
    <w:p w14:paraId="6776B1B5">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447CF26A">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、预算绩效管理工作开展情况。</w:t>
      </w:r>
    </w:p>
    <w:p w14:paraId="5051FF88">
      <w:pPr>
        <w:autoSpaceDE w:val="0"/>
        <w:autoSpaceDN w:val="0"/>
        <w:adjustRightInd w:val="0"/>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13E5A45D">
      <w:pPr>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p>
    <w:p w14:paraId="79C2B874">
      <w:pPr>
        <w:autoSpaceDE w:val="0"/>
        <w:autoSpaceDN w:val="0"/>
        <w:adjustRightInd w:val="0"/>
        <w:ind w:firstLine="640" w:firstLineChars="200"/>
        <w:jc w:val="left"/>
        <w:rPr>
          <w:rFonts w:hint="eastAsia" w:ascii="黑体" w:hAnsi="黑体" w:eastAsia="黑体" w:cs="仿宋_GB2312"/>
          <w:kern w:val="0"/>
          <w:sz w:val="32"/>
          <w:szCs w:val="32"/>
        </w:rPr>
      </w:pPr>
    </w:p>
    <w:p w14:paraId="69185198">
      <w:pPr>
        <w:ind w:firstLine="646"/>
        <w:jc w:val="center"/>
        <w:outlineLvl w:val="0"/>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636DBFC8">
      <w:pPr>
        <w:numPr>
          <w:ilvl w:val="0"/>
          <w:numId w:val="1"/>
        </w:numPr>
        <w:ind w:firstLine="646"/>
        <w:outlineLvl w:val="1"/>
        <w:rPr>
          <w:rFonts w:hint="eastAsia" w:ascii="黑体" w:hAnsi="黑体" w:eastAsia="黑体"/>
          <w:sz w:val="32"/>
          <w:szCs w:val="32"/>
        </w:rPr>
      </w:pPr>
      <w:r>
        <w:rPr>
          <w:rFonts w:hint="eastAsia" w:ascii="黑体" w:hAnsi="黑体" w:eastAsia="黑体"/>
          <w:sz w:val="32"/>
          <w:szCs w:val="32"/>
          <w:lang w:val="en-US" w:eastAsia="zh-CN"/>
        </w:rPr>
        <w:t>本部门职责</w:t>
      </w:r>
    </w:p>
    <w:p w14:paraId="51D3BD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eastAsia="仿宋_GB2312"/>
          <w:color w:val="0000FF"/>
          <w:sz w:val="32"/>
          <w:szCs w:val="32"/>
          <w:u w:val="single"/>
          <w:lang w:val="en-US" w:eastAsia="zh-CN"/>
        </w:rPr>
      </w:pPr>
      <w:r>
        <w:rPr>
          <w:rFonts w:hint="eastAsia" w:ascii="仿宋_GB2312" w:eastAsia="仿宋_GB2312"/>
          <w:color w:val="000000" w:themeColor="text1"/>
          <w:sz w:val="32"/>
          <w:szCs w:val="32"/>
          <w:u w:val="none"/>
          <w14:textFill>
            <w14:solidFill>
              <w14:schemeClr w14:val="tx1"/>
            </w14:solidFill>
          </w14:textFill>
        </w:rPr>
        <w:t/>
      </w:r>
      <w:r>
        <w:rPr>
          <w:rFonts w:hint="eastAsia" w:ascii="仿宋_GB2312" w:eastAsia="仿宋_GB2312"/>
          <w:color w:val="000000" w:themeColor="text1"/>
          <w:sz w:val="32"/>
          <w:szCs w:val="32"/>
          <w:u w:val="none"/>
          <w14:textFill>
            <w14:solidFill>
              <w14:schemeClr w14:val="tx1"/>
            </w14:solidFill>
          </w14:textFill>
        </w:rPr>
        <w:t>负责承担市本级集中接待受理、直接调处、协调指导、监督查处来访事项的综合服务工作；提供登记、接访、办理、督办等“一站式”服务管理，履行接谈受理、督办直查、情况综合、梳理立档等工作职责，保证一般信访事项能在中心当场解决；组织市直相关部门派驻中心处理本部门为责任主体的信访事项，协调处理市直相关部门系统管辖的可在中心内处理的信访事项，负责对市直相关部门系统信访问题转行政复议、仲裁、民事诉讼的进行引导并协调相关部门立案受理；授权依法处理无理闹访、缠访、诈访和煽访等行为，维护中心的日常信访工作秩序。</w:t>
      </w:r>
      <w:r>
        <w:rPr>
          <w:rFonts w:hint="eastAsia" w:ascii="仿宋_GB2312" w:eastAsia="仿宋_GB2312"/>
          <w:color w:val="000000" w:themeColor="text1"/>
          <w:sz w:val="32"/>
          <w:szCs w:val="32"/>
          <w:u w:val="none"/>
          <w14:textFill>
            <w14:solidFill>
              <w14:schemeClr w14:val="tx1"/>
            </w14:solidFill>
          </w14:textFill>
        </w:rPr>
        <w:t/>
      </w:r>
    </w:p>
    <w:p w14:paraId="3EA9E9A2">
      <w:pPr>
        <w:ind w:firstLine="646"/>
        <w:outlineLvl w:val="1"/>
        <w:rPr>
          <w:rFonts w:hint="eastAsia" w:ascii="仿宋_GB2312" w:eastAsia="仿宋_GB2312"/>
          <w:color w:val="000000" w:themeColor="text1"/>
          <w:sz w:val="32"/>
          <w:szCs w:val="32"/>
          <w:u w:val="none"/>
          <w14:textFill>
            <w14:solidFill>
              <w14:schemeClr w14:val="tx1"/>
            </w14:solidFill>
          </w14:textFill>
        </w:rPr>
      </w:pPr>
      <w:r>
        <w:rPr>
          <w:rFonts w:hint="eastAsia" w:ascii="黑体" w:hAnsi="黑体" w:eastAsia="黑体"/>
          <w:sz w:val="32"/>
          <w:szCs w:val="32"/>
        </w:rPr>
        <w:t>二、</w:t>
      </w:r>
      <w:r>
        <w:rPr>
          <w:rFonts w:hint="eastAsia" w:ascii="黑体" w:hAnsi="黑体" w:eastAsia="黑体"/>
          <w:sz w:val="32"/>
          <w:szCs w:val="32"/>
          <w:lang w:val="en-US" w:eastAsia="zh-CN"/>
        </w:rPr>
        <w:t>机构设置情况</w:t>
      </w:r>
    </w:p>
    <w:p w14:paraId="6505D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
      </w:r>
      <w:r>
        <w:rPr>
          <w:rFonts w:hint="eastAsia" w:ascii="仿宋_GB2312" w:eastAsia="仿宋_GB2312"/>
          <w:color w:val="000000" w:themeColor="text1"/>
          <w:sz w:val="32"/>
          <w:szCs w:val="32"/>
          <w:u w:val="none"/>
          <w14:textFill>
            <w14:solidFill>
              <w14:schemeClr w14:val="tx1"/>
            </w14:solidFill>
          </w14:textFill>
        </w:rPr>
        <w:t>百色市群众工作服务中心，是中共百色市委员会百色市人民政府信访局的二层机构，属公益一类事业单位。2022年开始纳入部门预决算汇编范围，属于二级核算单位，本部门无下属单位，部门预算为中心本级预算。</w:t>
      </w:r>
      <w:r>
        <w:rPr>
          <w:rFonts w:hint="eastAsia" w:ascii="仿宋_GB2312" w:eastAsia="仿宋_GB2312"/>
          <w:color w:val="000000" w:themeColor="text1"/>
          <w:sz w:val="32"/>
          <w:szCs w:val="32"/>
          <w:u w:val="none"/>
          <w14:textFill>
            <w14:solidFill>
              <w14:schemeClr w14:val="tx1"/>
            </w14:solidFill>
          </w14:textFill>
        </w:rPr>
        <w:t/>
      </w:r>
    </w:p>
    <w:p w14:paraId="1422A546">
      <w:pPr>
        <w:jc w:val="both"/>
      </w:pPr>
    </w:p>
    <w:p w14:paraId="013A3DD3">
      <w:r>
        <w:br w:type="page"/>
      </w:r>
    </w:p>
    <w:p w14:paraId="59FF256E">
      <w:pPr>
        <w:jc w:val="center"/>
        <w:outlineLvl w:val="0"/>
        <w:rPr>
          <w:rFonts w:hint="eastAsia" w:ascii="仿宋_GB2312" w:eastAsia="仿宋_GB2312"/>
          <w:sz w:val="32"/>
          <w:szCs w:val="32"/>
          <w:highlight w:val="yellow"/>
          <w:lang w:val="en-US" w:eastAsia="zh-CN"/>
        </w:rPr>
      </w:pPr>
      <w:r>
        <w:rPr>
          <w:rFonts w:hint="eastAsia" w:ascii="黑体" w:hAnsi="黑体" w:eastAsia="黑体"/>
          <w:sz w:val="32"/>
          <w:szCs w:val="32"/>
        </w:rPr>
        <w:t>第二部分：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年度部门决算报表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3473"/>
        <w:gridCol w:w="3322"/>
        <w:gridCol w:w="3997"/>
      </w:tblGrid>
      <w:tr w14:paraId="2801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5404AF8E">
            <w:pPr>
              <w:jc w:val="right"/>
              <w:rPr>
                <w:rFonts w:ascii="黑体" w:hAnsi="黑体" w:eastAsia="黑体"/>
                <w:color w:val="000000"/>
                <w:sz w:val="32"/>
                <w:szCs w:val="32"/>
              </w:rPr>
            </w:pPr>
            <w:r>
              <w:rPr>
                <w:rFonts w:hint="eastAsia" w:ascii="宋体" w:hAnsi="宋体" w:cs="宋体"/>
                <w:color w:val="000000"/>
                <w:kern w:val="0"/>
                <w:sz w:val="20"/>
                <w:szCs w:val="20"/>
              </w:rPr>
              <w:t>表1</w:t>
            </w:r>
          </w:p>
        </w:tc>
      </w:tr>
      <w:tr w14:paraId="3BCF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32E40260">
            <w:pPr>
              <w:jc w:val="center"/>
              <w:rPr>
                <w:rFonts w:ascii="黑体" w:hAnsi="黑体" w:eastAsia="黑体"/>
                <w:color w:val="000000"/>
                <w:sz w:val="32"/>
                <w:szCs w:val="32"/>
              </w:rPr>
            </w:pPr>
            <w:r>
              <w:rPr>
                <w:rFonts w:hint="eastAsia" w:ascii="宋体" w:hAnsi="宋体" w:cs="宋体"/>
                <w:b/>
                <w:color w:val="000000"/>
                <w:kern w:val="0"/>
                <w:sz w:val="32"/>
                <w:szCs w:val="32"/>
              </w:rPr>
              <w:t>收入支出决算总表</w:t>
            </w:r>
          </w:p>
        </w:tc>
      </w:tr>
      <w:tr w14:paraId="567B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90" w:type="pct"/>
            <w:gridSpan w:val="3"/>
            <w:tcBorders>
              <w:top w:val="nil"/>
              <w:left w:val="nil"/>
              <w:bottom w:val="single" w:color="000000" w:sz="4" w:space="0"/>
              <w:right w:val="nil"/>
            </w:tcBorders>
            <w:vAlign w:val="center"/>
          </w:tcPr>
          <w:p w14:paraId="70BB53A8">
            <w:pPr>
              <w:jc w:val="left"/>
              <w:rPr>
                <w:rFonts w:hint="default" w:ascii="黑体" w:hAnsi="黑体" w:eastAsia="宋体"/>
                <w:color w:val="000000"/>
                <w:sz w:val="32"/>
                <w:szCs w:val="32"/>
                <w:u w:val="single"/>
                <w:lang w:val="en-US" w:eastAsia="zh-CN"/>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p>
        </w:tc>
        <w:tc>
          <w:tcPr>
            <w:tcW w:w="1409" w:type="pct"/>
            <w:tcBorders>
              <w:top w:val="nil"/>
              <w:left w:val="nil"/>
              <w:bottom w:val="single" w:color="000000" w:sz="4" w:space="0"/>
              <w:right w:val="nil"/>
            </w:tcBorders>
            <w:vAlign w:val="center"/>
          </w:tcPr>
          <w:p w14:paraId="7EB60607">
            <w:pPr>
              <w:jc w:val="right"/>
              <w:rPr>
                <w:rFonts w:ascii="黑体" w:hAnsi="黑体" w:eastAsia="黑体"/>
                <w:color w:val="000000"/>
                <w:sz w:val="32"/>
                <w:szCs w:val="32"/>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AF9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418" w:type="pct"/>
            <w:gridSpan w:val="2"/>
            <w:tcBorders>
              <w:top w:val="single" w:color="000000" w:sz="4" w:space="0"/>
              <w:left w:val="single" w:color="000000" w:sz="4" w:space="0"/>
              <w:bottom w:val="single" w:color="000000" w:sz="4" w:space="0"/>
              <w:right w:val="single" w:color="000000" w:sz="4" w:space="0"/>
            </w:tcBorders>
            <w:vAlign w:val="center"/>
          </w:tcPr>
          <w:p w14:paraId="6D7FB1B2">
            <w:pPr>
              <w:widowControl/>
              <w:ind w:firstLine="400"/>
              <w:jc w:val="center"/>
              <w:rPr>
                <w:rFonts w:ascii="黑体" w:hAnsi="黑体" w:eastAsia="黑体"/>
                <w:color w:val="000000"/>
                <w:szCs w:val="21"/>
              </w:rPr>
            </w:pPr>
            <w:r>
              <w:rPr>
                <w:rFonts w:hint="eastAsia" w:ascii="宋体" w:hAnsi="宋体" w:cs="宋体"/>
                <w:color w:val="000000"/>
                <w:kern w:val="0"/>
                <w:szCs w:val="21"/>
              </w:rPr>
              <w:t>收    入</w:t>
            </w:r>
          </w:p>
        </w:tc>
        <w:tc>
          <w:tcPr>
            <w:tcW w:w="2581" w:type="pct"/>
            <w:gridSpan w:val="2"/>
            <w:tcBorders>
              <w:top w:val="single" w:color="000000" w:sz="4" w:space="0"/>
              <w:left w:val="single" w:color="000000" w:sz="4" w:space="0"/>
              <w:bottom w:val="single" w:color="000000" w:sz="4" w:space="0"/>
              <w:right w:val="single" w:color="000000" w:sz="4" w:space="0"/>
            </w:tcBorders>
            <w:vAlign w:val="center"/>
          </w:tcPr>
          <w:p w14:paraId="66A98828">
            <w:pPr>
              <w:widowControl/>
              <w:jc w:val="center"/>
              <w:rPr>
                <w:rFonts w:ascii="黑体" w:hAnsi="黑体" w:eastAsia="黑体"/>
                <w:color w:val="000000"/>
                <w:szCs w:val="21"/>
              </w:rPr>
            </w:pPr>
            <w:r>
              <w:rPr>
                <w:rFonts w:hint="eastAsia" w:ascii="宋体" w:hAnsi="宋体" w:cs="宋体"/>
                <w:color w:val="000000"/>
                <w:kern w:val="0"/>
                <w:szCs w:val="21"/>
              </w:rPr>
              <w:t>支    出</w:t>
            </w:r>
          </w:p>
        </w:tc>
      </w:tr>
      <w:tr w14:paraId="47F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3" w:type="pct"/>
            <w:tcBorders>
              <w:top w:val="single" w:color="000000" w:sz="4" w:space="0"/>
            </w:tcBorders>
            <w:vAlign w:val="center"/>
          </w:tcPr>
          <w:p w14:paraId="783E151C">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225" w:type="pct"/>
            <w:tcBorders>
              <w:top w:val="single" w:color="000000" w:sz="4" w:space="0"/>
            </w:tcBorders>
            <w:vAlign w:val="center"/>
          </w:tcPr>
          <w:p w14:paraId="299EF5A0">
            <w:pPr>
              <w:widowControl/>
              <w:jc w:val="center"/>
              <w:rPr>
                <w:rFonts w:ascii="黑体" w:hAnsi="黑体" w:eastAsia="黑体"/>
                <w:color w:val="000000"/>
                <w:szCs w:val="21"/>
              </w:rPr>
            </w:pPr>
            <w:r>
              <w:rPr>
                <w:rFonts w:hint="eastAsia" w:ascii="宋体" w:hAnsi="宋体" w:cs="宋体"/>
                <w:color w:val="000000"/>
                <w:kern w:val="0"/>
                <w:szCs w:val="21"/>
              </w:rPr>
              <w:t>决算数</w:t>
            </w:r>
          </w:p>
        </w:tc>
        <w:tc>
          <w:tcPr>
            <w:tcW w:w="1171" w:type="pct"/>
            <w:tcBorders>
              <w:top w:val="single" w:color="000000" w:sz="4" w:space="0"/>
            </w:tcBorders>
            <w:vAlign w:val="center"/>
          </w:tcPr>
          <w:p w14:paraId="50A08878">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409" w:type="pct"/>
            <w:tcBorders>
              <w:top w:val="single" w:color="000000" w:sz="4" w:space="0"/>
            </w:tcBorders>
            <w:vAlign w:val="center"/>
          </w:tcPr>
          <w:p w14:paraId="6023C505">
            <w:pPr>
              <w:widowControl/>
              <w:jc w:val="center"/>
              <w:rPr>
                <w:rFonts w:ascii="黑体" w:hAnsi="黑体" w:eastAsia="黑体"/>
                <w:color w:val="000000"/>
                <w:szCs w:val="21"/>
              </w:rPr>
            </w:pPr>
            <w:r>
              <w:rPr>
                <w:rFonts w:hint="eastAsia" w:ascii="宋体" w:hAnsi="宋体" w:cs="宋体"/>
                <w:color w:val="000000"/>
                <w:kern w:val="0"/>
                <w:szCs w:val="21"/>
              </w:rPr>
              <w:t>决算数</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一、一般公共服务支出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114.07</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二、外交支出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三、国防支出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四、上级补助收入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四、公共安全支出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五、事业收入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五、教育支出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六、经营收入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六、科学技术支出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七、附属单位上缴收入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七、文化旅游体育与传媒支出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八、其他收入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八、社会保障和就业支出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30.03</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九、卫生健康支出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4.97</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十、节能环保支出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十一、城乡社区支出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十二、农林水支出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十三、交通运输支出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十四、资源勘探工业信息等支出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十五、商业服务业等支出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十六、金融支出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十七、援助其他地区支出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十八、自然资源海洋气象等支出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十九、住房保障支出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12.11</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二十、粮油物资储备支出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二十一、国有资本经营预算支出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二十二、灾害防治及应急管理支出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二十三、其他支出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二十四、债务还本支出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二十五、债务付息支出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二十六、抗疫特别国债安排的支出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本年支出合计</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使用非财政拨款结余（含专用结余）</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结余分配</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年初结转和结余</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年末结转和结余</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总计</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r>
      <w:tr w14:paraId="63F6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40AA5C38">
            <w:pPr>
              <w:widowControl/>
              <w:jc w:val="center"/>
              <w:rPr>
                <w:rFonts w:hint="eastAsia" w:ascii="宋体" w:hAnsi="宋体" w:cs="宋体"/>
                <w:b/>
                <w:bCs/>
                <w:color w:val="000000"/>
                <w:kern w:val="0"/>
                <w:szCs w:val="21"/>
              </w:rPr>
            </w:pPr>
          </w:p>
        </w:tc>
        <w:tc>
          <w:tcPr>
            <w:tcW w:w="1225" w:type="pct"/>
            <w:vAlign w:val="center"/>
          </w:tcPr>
          <w:p w14:paraId="7E84DEA4">
            <w:pPr>
              <w:widowControl/>
              <w:jc w:val="right"/>
              <w:rPr>
                <w:rFonts w:hint="eastAsia" w:ascii="宋体" w:hAnsi="宋体" w:eastAsia="宋体" w:cs="宋体"/>
                <w:color w:val="000000"/>
                <w:kern w:val="0"/>
                <w:szCs w:val="21"/>
                <w:lang w:eastAsia="zh-CN"/>
              </w:rPr>
            </w:pPr>
          </w:p>
        </w:tc>
        <w:tc>
          <w:tcPr>
            <w:tcW w:w="1171" w:type="pct"/>
            <w:vAlign w:val="center"/>
          </w:tcPr>
          <w:p w14:paraId="247E3C46">
            <w:pPr>
              <w:widowControl/>
              <w:jc w:val="center"/>
              <w:rPr>
                <w:rFonts w:hint="eastAsia" w:ascii="宋体" w:hAnsi="宋体" w:cs="宋体"/>
                <w:b/>
                <w:bCs/>
                <w:color w:val="000000"/>
                <w:kern w:val="0"/>
                <w:szCs w:val="21"/>
              </w:rPr>
            </w:pPr>
          </w:p>
        </w:tc>
        <w:tc>
          <w:tcPr>
            <w:tcW w:w="1409" w:type="pct"/>
            <w:vAlign w:val="center"/>
          </w:tcPr>
          <w:p w14:paraId="3482F4A7">
            <w:pPr>
              <w:widowControl/>
              <w:jc w:val="right"/>
              <w:rPr>
                <w:rFonts w:hint="eastAsia" w:ascii="宋体" w:hAnsi="宋体" w:eastAsia="宋体" w:cs="宋体"/>
                <w:color w:val="000000"/>
                <w:kern w:val="0"/>
                <w:szCs w:val="21"/>
                <w:lang w:eastAsia="zh-CN"/>
              </w:rPr>
            </w:pPr>
          </w:p>
        </w:tc>
      </w:tr>
    </w:tbl>
    <w:p w14:paraId="34B758EA">
      <w:pPr>
        <w:rPr>
          <w:rFonts w:hint="eastAsia"/>
          <w:color w:val="000000"/>
        </w:rPr>
      </w:pPr>
      <w:r>
        <w:rPr>
          <w:rFonts w:hint="eastAsia"/>
          <w:color w:val="000000"/>
        </w:rPr>
        <w:t>注：</w:t>
      </w:r>
      <w:bookmarkStart w:id="0" w:name="PO_part2Table1Remark1"/>
      <w:r>
        <w:rPr>
          <w:rFonts w:hint="eastAsia"/>
          <w:color w:val="000000"/>
        </w:rPr>
        <w:t xml:space="preserve"> </w:t>
      </w:r>
      <w:r>
        <w:rPr>
          <w:rFonts w:hint="eastAsia"/>
          <w:color w:val="000000"/>
          <w:lang w:val="en-US" w:eastAsia="zh-CN"/>
        </w:rPr>
        <w:t>1</w:t>
      </w:r>
      <w:r>
        <w:rPr>
          <w:rFonts w:hint="eastAsia"/>
          <w:color w:val="000000"/>
        </w:rPr>
        <w:t>、本表反映部门</w:t>
      </w:r>
      <w:r>
        <w:rPr>
          <w:rFonts w:hint="eastAsia"/>
          <w:color w:val="000000"/>
          <w:lang w:val="en-US" w:eastAsia="zh-CN"/>
        </w:rPr>
        <w:t>2024</w:t>
      </w:r>
      <w:r>
        <w:rPr>
          <w:rFonts w:hint="eastAsia"/>
          <w:color w:val="000000"/>
        </w:rPr>
        <w:t xml:space="preserve">年度的总收支和年末结转结余情况。 </w:t>
      </w:r>
      <w:bookmarkEnd w:id="0"/>
      <w:r>
        <w:rPr>
          <w:rFonts w:hint="eastAsia"/>
          <w:color w:val="000000"/>
        </w:rPr>
        <w:t xml:space="preserve"> 2、本套报表金额单位转换时可能存在尾数误差。</w:t>
      </w:r>
    </w:p>
    <w:p w14:paraId="1F1A8B09">
      <w:pPr>
        <w:keepNext w:val="0"/>
        <w:keepLines w:val="0"/>
        <w:pageBreakBefore/>
        <w:widowControl/>
        <w:kinsoku/>
        <w:wordWrap/>
        <w:overflowPunct/>
        <w:topLinePunct w:val="0"/>
        <w:autoSpaceDE/>
        <w:autoSpaceDN/>
        <w:bidi w:val="0"/>
        <w:adjustRightInd/>
        <w:snapToGrid/>
        <w:textAlignment w:val="auto"/>
        <w:rPr>
          <w:rFonts w:hint="default"/>
          <w:color w:val="000000"/>
          <w:lang w:val="en-US" w:eastAsia="zh-CN"/>
        </w:rPr>
      </w:pPr>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14:paraId="54FC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center"/>
          </w:tcPr>
          <w:p w14:paraId="317AFE78">
            <w:pPr>
              <w:jc w:val="right"/>
              <w:rPr>
                <w:rFonts w:ascii="宋体" w:hAnsi="宋体" w:cs="宋体"/>
                <w:color w:val="000000"/>
              </w:rPr>
            </w:pPr>
            <w:r>
              <w:rPr>
                <w:rFonts w:hint="eastAsia" w:ascii="宋体" w:hAnsi="宋体" w:cs="宋体"/>
                <w:color w:val="000000"/>
                <w:kern w:val="0"/>
                <w:sz w:val="20"/>
                <w:szCs w:val="20"/>
              </w:rPr>
              <w:t>表2</w:t>
            </w:r>
          </w:p>
        </w:tc>
      </w:tr>
      <w:tr w14:paraId="2A29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1417C237">
            <w:pPr>
              <w:jc w:val="center"/>
              <w:rPr>
                <w:rFonts w:ascii="宋体" w:hAnsi="宋体" w:cs="宋体"/>
                <w:b/>
                <w:color w:val="000000"/>
              </w:rPr>
            </w:pPr>
            <w:r>
              <w:rPr>
                <w:rFonts w:hint="eastAsia" w:ascii="宋体" w:hAnsi="宋体" w:cs="宋体"/>
                <w:b/>
                <w:color w:val="000000"/>
                <w:kern w:val="0"/>
                <w:sz w:val="32"/>
                <w:szCs w:val="32"/>
              </w:rPr>
              <w:t>收入决算表</w:t>
            </w:r>
          </w:p>
        </w:tc>
      </w:tr>
      <w:tr w14:paraId="5C5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14:paraId="459C3ADF">
            <w:pPr>
              <w:spacing w:line="360" w:lineRule="auto"/>
              <w:rPr>
                <w:rFonts w:ascii="宋体" w:hAnsi="宋体" w:cs="宋体"/>
                <w:color w:val="000000"/>
                <w:sz w:val="28"/>
                <w:szCs w:val="28"/>
              </w:rPr>
            </w:pPr>
            <w:r>
              <w:rPr>
                <w:rFonts w:hint="eastAsia" w:ascii="宋体" w:hAnsi="宋体" w:cs="宋体"/>
                <w:color w:val="000000"/>
                <w:kern w:val="0"/>
                <w:sz w:val="20"/>
                <w:szCs w:val="20"/>
              </w:rPr>
              <w:t>部门：</w:t>
            </w:r>
            <w:bookmarkStart w:id="1" w:name="PO_part2Table1DivName2"/>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
          </w:p>
        </w:tc>
        <w:tc>
          <w:tcPr>
            <w:tcW w:w="1568" w:type="dxa"/>
            <w:tcBorders>
              <w:top w:val="nil"/>
              <w:left w:val="nil"/>
              <w:bottom w:val="single" w:color="auto" w:sz="4" w:space="0"/>
              <w:right w:val="nil"/>
            </w:tcBorders>
            <w:vAlign w:val="center"/>
          </w:tcPr>
          <w:p w14:paraId="33BA38DD">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B0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14:paraId="6C1A30AB">
            <w:pPr>
              <w:jc w:val="center"/>
              <w:rPr>
                <w:rFonts w:ascii="宋体" w:hAnsi="宋体" w:cs="宋体"/>
                <w:color w:val="000000"/>
                <w:szCs w:val="21"/>
              </w:rPr>
            </w:pPr>
            <w:r>
              <w:rPr>
                <w:rFonts w:hint="eastAsia" w:ascii="宋体" w:hAnsi="宋体" w:cs="宋体"/>
                <w:color w:val="000000"/>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1C7CEDF3">
            <w:pPr>
              <w:widowControl/>
              <w:jc w:val="center"/>
              <w:rPr>
                <w:rFonts w:ascii="宋体" w:hAnsi="宋体" w:cs="宋体"/>
                <w:color w:val="000000"/>
                <w:kern w:val="0"/>
                <w:szCs w:val="21"/>
              </w:rPr>
            </w:pPr>
            <w:r>
              <w:rPr>
                <w:rFonts w:hint="eastAsia" w:ascii="宋体" w:hAnsi="宋体" w:cs="宋体"/>
                <w:color w:val="000000"/>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14:paraId="532BAC63">
            <w:pPr>
              <w:widowControl/>
              <w:jc w:val="center"/>
              <w:rPr>
                <w:rFonts w:ascii="宋体" w:hAnsi="宋体" w:cs="宋体"/>
                <w:color w:val="000000"/>
                <w:kern w:val="0"/>
                <w:szCs w:val="21"/>
              </w:rPr>
            </w:pPr>
            <w:r>
              <w:rPr>
                <w:rFonts w:hint="eastAsia" w:ascii="宋体" w:hAnsi="宋体" w:cs="宋体"/>
                <w:color w:val="000000"/>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5D136097">
            <w:pPr>
              <w:jc w:val="center"/>
              <w:rPr>
                <w:rFonts w:ascii="宋体" w:hAnsi="宋体" w:cs="宋体"/>
                <w:color w:val="000000"/>
                <w:szCs w:val="21"/>
              </w:rPr>
            </w:pPr>
            <w:r>
              <w:rPr>
                <w:rFonts w:hint="eastAsia" w:ascii="宋体" w:hAnsi="宋体" w:cs="宋体"/>
                <w:color w:val="000000"/>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0CDCFA61">
            <w:pPr>
              <w:widowControl/>
              <w:jc w:val="center"/>
              <w:rPr>
                <w:rFonts w:ascii="宋体" w:hAnsi="宋体" w:cs="宋体"/>
                <w:color w:val="000000"/>
                <w:kern w:val="0"/>
                <w:szCs w:val="21"/>
              </w:rPr>
            </w:pPr>
            <w:r>
              <w:rPr>
                <w:rFonts w:hint="eastAsia" w:ascii="宋体" w:hAnsi="宋体" w:cs="宋体"/>
                <w:color w:val="000000"/>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2EF609AB">
            <w:pPr>
              <w:widowControl/>
              <w:jc w:val="center"/>
              <w:rPr>
                <w:rFonts w:ascii="宋体" w:hAnsi="宋体" w:cs="宋体"/>
                <w:color w:val="000000"/>
                <w:kern w:val="0"/>
                <w:szCs w:val="21"/>
              </w:rPr>
            </w:pPr>
            <w:r>
              <w:rPr>
                <w:rFonts w:hint="eastAsia" w:ascii="宋体" w:hAnsi="宋体" w:cs="宋体"/>
                <w:color w:val="000000"/>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3671A1D8">
            <w:pPr>
              <w:widowControl/>
              <w:jc w:val="center"/>
              <w:rPr>
                <w:rFonts w:ascii="宋体" w:hAnsi="宋体" w:cs="宋体"/>
                <w:color w:val="000000"/>
                <w:kern w:val="0"/>
                <w:szCs w:val="21"/>
              </w:rPr>
            </w:pPr>
            <w:r>
              <w:rPr>
                <w:rFonts w:hint="eastAsia" w:ascii="宋体" w:hAnsi="宋体" w:cs="宋体"/>
                <w:color w:val="000000"/>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14:paraId="71810AEB">
            <w:pPr>
              <w:widowControl/>
              <w:jc w:val="center"/>
              <w:rPr>
                <w:rFonts w:ascii="宋体" w:hAnsi="宋体" w:cs="宋体"/>
                <w:color w:val="000000"/>
                <w:kern w:val="0"/>
                <w:szCs w:val="21"/>
              </w:rPr>
            </w:pPr>
            <w:r>
              <w:rPr>
                <w:rFonts w:hint="eastAsia" w:ascii="宋体" w:hAnsi="宋体" w:cs="宋体"/>
                <w:color w:val="000000"/>
                <w:kern w:val="0"/>
                <w:szCs w:val="21"/>
              </w:rPr>
              <w:t>其他收入</w:t>
            </w:r>
          </w:p>
        </w:tc>
      </w:tr>
      <w:tr w14:paraId="2078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center"/>
          </w:tcPr>
          <w:p w14:paraId="52C69D56">
            <w:pPr>
              <w:jc w:val="center"/>
              <w:rPr>
                <w:rFonts w:ascii="宋体" w:hAnsi="宋体" w:cs="宋体"/>
                <w:color w:val="000000"/>
                <w:szCs w:val="21"/>
              </w:rPr>
            </w:pPr>
            <w:r>
              <w:rPr>
                <w:rFonts w:hint="eastAsia" w:ascii="宋体" w:hAnsi="宋体" w:cs="宋体"/>
                <w:color w:val="000000"/>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14:paraId="53EA0648">
            <w:pPr>
              <w:jc w:val="center"/>
              <w:rPr>
                <w:rFonts w:ascii="宋体" w:hAnsi="宋体" w:cs="宋体"/>
                <w:color w:val="000000"/>
                <w:szCs w:val="21"/>
              </w:rPr>
            </w:pPr>
            <w:r>
              <w:rPr>
                <w:rFonts w:hint="eastAsia" w:ascii="宋体" w:hAnsi="宋体" w:cs="宋体"/>
                <w:color w:val="000000"/>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14:paraId="20E0562D">
            <w:pPr>
              <w:spacing w:line="360" w:lineRule="auto"/>
              <w:rPr>
                <w:rFonts w:ascii="宋体" w:hAnsi="宋体" w:cs="宋体"/>
                <w:color w:val="000000"/>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14:paraId="28A82BF9">
            <w:pPr>
              <w:spacing w:line="360" w:lineRule="auto"/>
              <w:jc w:val="right"/>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7056535F">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9FF10DD">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05A1AA0">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A9F8A87">
            <w:pPr>
              <w:spacing w:line="360" w:lineRule="auto"/>
              <w:rPr>
                <w:rFonts w:ascii="宋体" w:hAnsi="宋体" w:cs="宋体"/>
                <w:color w:val="000000"/>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14:paraId="618F5E72">
            <w:pPr>
              <w:spacing w:line="360" w:lineRule="auto"/>
              <w:rPr>
                <w:rFonts w:ascii="宋体" w:hAnsi="宋体" w:cs="宋体"/>
                <w:color w:val="000000"/>
                <w:szCs w:val="21"/>
              </w:rPr>
            </w:pPr>
          </w:p>
        </w:tc>
      </w:tr>
      <w:tr w14:paraId="45F5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14:paraId="3C1AE374">
            <w:pPr>
              <w:jc w:val="center"/>
              <w:rPr>
                <w:rFonts w:ascii="宋体" w:hAnsi="宋体" w:cs="宋体"/>
                <w:color w:val="000000"/>
                <w:szCs w:val="21"/>
              </w:rPr>
            </w:pPr>
            <w:r>
              <w:rPr>
                <w:rFonts w:hint="eastAsia" w:ascii="宋体" w:hAnsi="宋体" w:cs="宋体"/>
                <w:color w:val="000000"/>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14:paraId="52B45AD4">
            <w:pPr>
              <w:spacing w:line="360" w:lineRule="auto"/>
              <w:jc w:val="center"/>
              <w:rPr>
                <w:rFonts w:ascii="宋体" w:hAnsi="宋体" w:cs="宋体"/>
                <w:color w:val="000000"/>
                <w:szCs w:val="21"/>
              </w:rPr>
            </w:pPr>
            <w:r>
              <w:rPr>
                <w:rFonts w:hint="eastAsia" w:ascii="宋体" w:hAnsi="宋体" w:cs="宋体"/>
                <w:color w:val="000000"/>
                <w:szCs w:val="21"/>
              </w:rPr>
              <w:t>1</w:t>
            </w:r>
          </w:p>
        </w:tc>
        <w:tc>
          <w:tcPr>
            <w:tcW w:w="1491" w:type="dxa"/>
            <w:tcBorders>
              <w:top w:val="single" w:color="auto" w:sz="4" w:space="0"/>
              <w:left w:val="single" w:color="auto" w:sz="4" w:space="0"/>
              <w:bottom w:val="single" w:color="auto" w:sz="4" w:space="0"/>
              <w:right w:val="single" w:color="auto" w:sz="4" w:space="0"/>
            </w:tcBorders>
          </w:tcPr>
          <w:p w14:paraId="06E021E2">
            <w:pPr>
              <w:spacing w:line="360" w:lineRule="auto"/>
              <w:jc w:val="center"/>
              <w:rPr>
                <w:rFonts w:ascii="宋体" w:hAnsi="宋体" w:cs="宋体"/>
                <w:color w:val="000000"/>
                <w:szCs w:val="21"/>
              </w:rPr>
            </w:pPr>
            <w:r>
              <w:rPr>
                <w:rFonts w:hint="eastAsia" w:ascii="宋体" w:hAnsi="宋体" w:cs="宋体"/>
                <w:color w:val="000000"/>
                <w:szCs w:val="21"/>
              </w:rPr>
              <w:t>2</w:t>
            </w:r>
          </w:p>
        </w:tc>
        <w:tc>
          <w:tcPr>
            <w:tcW w:w="1576" w:type="dxa"/>
            <w:tcBorders>
              <w:top w:val="single" w:color="auto" w:sz="4" w:space="0"/>
              <w:left w:val="single" w:color="auto" w:sz="4" w:space="0"/>
              <w:bottom w:val="single" w:color="auto" w:sz="4" w:space="0"/>
              <w:right w:val="single" w:color="auto" w:sz="4" w:space="0"/>
            </w:tcBorders>
          </w:tcPr>
          <w:p w14:paraId="2428EC70">
            <w:pPr>
              <w:spacing w:line="360" w:lineRule="auto"/>
              <w:jc w:val="center"/>
              <w:rPr>
                <w:rFonts w:ascii="宋体" w:hAnsi="宋体" w:cs="宋体"/>
                <w:color w:val="000000"/>
                <w:szCs w:val="21"/>
              </w:rPr>
            </w:pPr>
            <w:r>
              <w:rPr>
                <w:rFonts w:hint="eastAsia" w:ascii="宋体" w:hAnsi="宋体" w:cs="宋体"/>
                <w:color w:val="000000"/>
                <w:szCs w:val="21"/>
              </w:rPr>
              <w:t>3</w:t>
            </w:r>
          </w:p>
        </w:tc>
        <w:tc>
          <w:tcPr>
            <w:tcW w:w="1576" w:type="dxa"/>
            <w:tcBorders>
              <w:top w:val="single" w:color="auto" w:sz="4" w:space="0"/>
              <w:left w:val="single" w:color="auto" w:sz="4" w:space="0"/>
              <w:bottom w:val="single" w:color="auto" w:sz="4" w:space="0"/>
              <w:right w:val="single" w:color="auto" w:sz="4" w:space="0"/>
            </w:tcBorders>
          </w:tcPr>
          <w:p w14:paraId="4F92F326">
            <w:pPr>
              <w:spacing w:line="360" w:lineRule="auto"/>
              <w:jc w:val="center"/>
              <w:rPr>
                <w:rFonts w:ascii="宋体" w:hAnsi="宋体" w:cs="宋体"/>
                <w:color w:val="000000"/>
                <w:szCs w:val="21"/>
              </w:rPr>
            </w:pPr>
            <w:r>
              <w:rPr>
                <w:rFonts w:hint="eastAsia" w:ascii="宋体" w:hAnsi="宋体" w:cs="宋体"/>
                <w:color w:val="000000"/>
                <w:szCs w:val="21"/>
              </w:rPr>
              <w:t>4</w:t>
            </w:r>
          </w:p>
        </w:tc>
        <w:tc>
          <w:tcPr>
            <w:tcW w:w="1576" w:type="dxa"/>
            <w:tcBorders>
              <w:top w:val="single" w:color="auto" w:sz="4" w:space="0"/>
              <w:left w:val="single" w:color="auto" w:sz="4" w:space="0"/>
              <w:bottom w:val="single" w:color="auto" w:sz="4" w:space="0"/>
              <w:right w:val="single" w:color="auto" w:sz="4" w:space="0"/>
            </w:tcBorders>
          </w:tcPr>
          <w:p w14:paraId="1E05D787">
            <w:pPr>
              <w:spacing w:line="360" w:lineRule="auto"/>
              <w:jc w:val="center"/>
              <w:rPr>
                <w:rFonts w:ascii="宋体" w:hAnsi="宋体" w:cs="宋体"/>
                <w:color w:val="000000"/>
                <w:szCs w:val="21"/>
              </w:rPr>
            </w:pPr>
            <w:r>
              <w:rPr>
                <w:rFonts w:hint="eastAsia" w:ascii="宋体" w:hAnsi="宋体" w:cs="宋体"/>
                <w:color w:val="000000"/>
                <w:szCs w:val="21"/>
              </w:rPr>
              <w:t>5</w:t>
            </w:r>
          </w:p>
        </w:tc>
        <w:tc>
          <w:tcPr>
            <w:tcW w:w="1576" w:type="dxa"/>
            <w:tcBorders>
              <w:top w:val="single" w:color="auto" w:sz="4" w:space="0"/>
              <w:left w:val="single" w:color="auto" w:sz="4" w:space="0"/>
              <w:bottom w:val="single" w:color="auto" w:sz="4" w:space="0"/>
              <w:right w:val="single" w:color="auto" w:sz="4" w:space="0"/>
            </w:tcBorders>
          </w:tcPr>
          <w:p w14:paraId="2BB0BC72">
            <w:pPr>
              <w:spacing w:line="360" w:lineRule="auto"/>
              <w:jc w:val="center"/>
              <w:rPr>
                <w:rFonts w:ascii="宋体" w:hAnsi="宋体" w:cs="宋体"/>
                <w:color w:val="000000"/>
                <w:szCs w:val="21"/>
              </w:rPr>
            </w:pPr>
            <w:r>
              <w:rPr>
                <w:rFonts w:hint="eastAsia" w:ascii="宋体" w:hAnsi="宋体" w:cs="宋体"/>
                <w:color w:val="000000"/>
                <w:szCs w:val="21"/>
              </w:rPr>
              <w:t>6</w:t>
            </w:r>
          </w:p>
        </w:tc>
        <w:tc>
          <w:tcPr>
            <w:tcW w:w="1568" w:type="dxa"/>
            <w:tcBorders>
              <w:top w:val="single" w:color="auto" w:sz="4" w:space="0"/>
              <w:left w:val="single" w:color="auto" w:sz="4" w:space="0"/>
              <w:bottom w:val="single" w:color="auto" w:sz="4" w:space="0"/>
              <w:right w:val="single" w:color="auto" w:sz="4" w:space="0"/>
            </w:tcBorders>
          </w:tcPr>
          <w:p w14:paraId="332356E1">
            <w:pPr>
              <w:spacing w:line="360" w:lineRule="auto"/>
              <w:jc w:val="center"/>
              <w:rPr>
                <w:rFonts w:ascii="宋体" w:hAnsi="宋体" w:cs="宋体"/>
                <w:color w:val="000000"/>
                <w:szCs w:val="21"/>
              </w:rPr>
            </w:pPr>
            <w:r>
              <w:rPr>
                <w:rFonts w:hint="eastAsia" w:ascii="宋体" w:hAnsi="宋体" w:cs="宋体"/>
                <w:color w:val="000000"/>
                <w:szCs w:val="21"/>
              </w:rPr>
              <w:t>7</w:t>
            </w:r>
          </w:p>
        </w:tc>
      </w:tr>
      <w:tr w14:paraId="1B6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14:paraId="3D6B9C5B">
            <w:pPr>
              <w:jc w:val="center"/>
              <w:rPr>
                <w:rFonts w:ascii="宋体" w:hAnsi="宋体" w:cs="宋体"/>
                <w:color w:val="000000"/>
                <w:szCs w:val="21"/>
              </w:rPr>
            </w:pPr>
          </w:p>
        </w:tc>
        <w:tc>
          <w:tcPr>
            <w:tcW w:w="2050" w:type="dxa"/>
            <w:tcBorders>
              <w:top w:val="single" w:color="auto" w:sz="4" w:space="0"/>
            </w:tcBorders>
            <w:vAlign w:val="center"/>
          </w:tcPr>
          <w:p w14:paraId="5E73B193">
            <w:pPr>
              <w:jc w:val="center"/>
              <w:rPr>
                <w:rFonts w:ascii="宋体" w:hAnsi="宋体" w:cs="宋体"/>
                <w:color w:val="000000"/>
                <w:szCs w:val="21"/>
              </w:rPr>
            </w:pPr>
            <w:r>
              <w:rPr>
                <w:rFonts w:hint="eastAsia" w:ascii="宋体" w:hAnsi="宋体" w:cs="宋体"/>
                <w:color w:val="000000"/>
                <w:szCs w:val="21"/>
              </w:rPr>
              <w:t>合计</w:t>
            </w:r>
          </w:p>
        </w:tc>
        <w:tc>
          <w:tcPr>
            <w:tcW w:w="1552" w:type="dxa"/>
            <w:tcBorders>
              <w:top w:val="single" w:color="auto" w:sz="4" w:space="0"/>
            </w:tcBorders>
            <w:vAlign w:val="center"/>
          </w:tcPr>
          <w:p w14:paraId="23B6945E">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161.18</w:t>
            </w:r>
          </w:p>
        </w:tc>
        <w:tc>
          <w:tcPr>
            <w:tcW w:w="1491" w:type="dxa"/>
            <w:tcBorders>
              <w:top w:val="single" w:color="auto" w:sz="4" w:space="0"/>
            </w:tcBorders>
            <w:vAlign w:val="center"/>
          </w:tcPr>
          <w:p w14:paraId="31A6F44D">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161.18</w:t>
            </w:r>
          </w:p>
        </w:tc>
        <w:tc>
          <w:tcPr>
            <w:tcW w:w="1576" w:type="dxa"/>
            <w:tcBorders>
              <w:top w:val="single" w:color="auto" w:sz="4" w:space="0"/>
            </w:tcBorders>
            <w:vAlign w:val="center"/>
          </w:tcPr>
          <w:p w14:paraId="438DA873">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w:t>
            </w:r>
          </w:p>
        </w:tc>
        <w:tc>
          <w:tcPr>
            <w:tcW w:w="1576" w:type="dxa"/>
            <w:tcBorders>
              <w:top w:val="single" w:color="auto" w:sz="4" w:space="0"/>
            </w:tcBorders>
            <w:vAlign w:val="center"/>
          </w:tcPr>
          <w:p w14:paraId="0269C671">
            <w:pPr>
              <w:widowControl/>
              <w:jc w:val="right"/>
              <w:rPr>
                <w:rFonts w:ascii="宋体" w:hAnsi="宋体" w:cs="宋体"/>
                <w:color w:val="000000"/>
                <w:kern w:val="0"/>
                <w:szCs w:val="21"/>
              </w:rPr>
            </w:pPr>
            <w:r>
              <w:rPr>
                <w:rFonts w:hint="eastAsia" w:ascii="宋体" w:hAnsi="宋体" w:eastAsia="宋体" w:cs="宋体"/>
                <w:color w:val="000000"/>
                <w:kern w:val="0"/>
                <w:szCs w:val="21"/>
                <w:lang w:eastAsia="zh-CN"/>
              </w:rPr>
              <w:t>0</w:t>
            </w:r>
          </w:p>
        </w:tc>
        <w:tc>
          <w:tcPr>
            <w:tcW w:w="1576" w:type="dxa"/>
            <w:tcBorders>
              <w:top w:val="single" w:color="auto" w:sz="4" w:space="0"/>
            </w:tcBorders>
            <w:vAlign w:val="center"/>
          </w:tcPr>
          <w:p w14:paraId="12564A0E">
            <w:pPr>
              <w:widowControl/>
              <w:jc w:val="right"/>
              <w:rPr>
                <w:rFonts w:ascii="宋体" w:hAnsi="宋体" w:cs="宋体"/>
                <w:color w:val="000000"/>
                <w:kern w:val="0"/>
                <w:szCs w:val="21"/>
              </w:rPr>
            </w:pPr>
            <w:r>
              <w:rPr>
                <w:rFonts w:ascii="宋体" w:hAnsi="宋体" w:cs="宋体"/>
                <w:color w:val="000000"/>
                <w:kern w:val="0"/>
                <w:szCs w:val="21"/>
              </w:rPr>
              <w:t>0</w:t>
            </w:r>
          </w:p>
        </w:tc>
        <w:tc>
          <w:tcPr>
            <w:tcW w:w="1576" w:type="dxa"/>
            <w:tcBorders>
              <w:top w:val="single" w:color="auto" w:sz="4" w:space="0"/>
            </w:tcBorders>
            <w:vAlign w:val="center"/>
          </w:tcPr>
          <w:p w14:paraId="02BD4102">
            <w:pPr>
              <w:widowControl/>
              <w:jc w:val="right"/>
              <w:rPr>
                <w:rFonts w:ascii="宋体" w:hAnsi="宋体" w:cs="宋体"/>
                <w:color w:val="000000"/>
                <w:kern w:val="0"/>
                <w:szCs w:val="21"/>
              </w:rPr>
            </w:pPr>
            <w:r>
              <w:rPr>
                <w:rFonts w:ascii="宋体" w:hAnsi="宋体" w:cs="宋体"/>
                <w:color w:val="000000"/>
                <w:kern w:val="0"/>
                <w:szCs w:val="21"/>
              </w:rPr>
              <w:t>0</w:t>
            </w:r>
          </w:p>
        </w:tc>
        <w:tc>
          <w:tcPr>
            <w:tcW w:w="1568" w:type="dxa"/>
            <w:tcBorders>
              <w:top w:val="single" w:color="auto" w:sz="4" w:space="0"/>
            </w:tcBorders>
            <w:vAlign w:val="center"/>
          </w:tcPr>
          <w:p w14:paraId="4A94EB44">
            <w:pPr>
              <w:widowControl/>
              <w:jc w:val="right"/>
              <w:rPr>
                <w:rFonts w:ascii="宋体" w:hAnsi="宋体" w:cs="宋体"/>
                <w:color w:val="000000"/>
                <w:kern w:val="0"/>
                <w:szCs w:val="21"/>
              </w:rPr>
            </w:pPr>
            <w:r>
              <w:rPr>
                <w:rFonts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2010350</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事业运行</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114.07</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114.07</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2080505</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机关事业单位基本养老保险缴费支出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20.02</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20.02</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2080506</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机关事业单位职业年金缴费支出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10.01</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10.01</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2101102</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事业单位医疗</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4.97</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4.97</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2210201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住房公积金</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12.11</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12.11</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22B2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bottom w:val="single" w:color="auto" w:sz="4" w:space="0"/>
            </w:tcBorders>
            <w:vAlign w:val="center"/>
          </w:tcPr>
          <w:p w14:paraId="364D07E6">
            <w:pPr>
              <w:widowControl/>
              <w:rPr>
                <w:rFonts w:hint="eastAsia" w:ascii="宋体" w:hAnsi="宋体" w:cs="宋体"/>
                <w:color w:val="000000"/>
                <w:kern w:val="0"/>
                <w:szCs w:val="21"/>
              </w:rPr>
            </w:pPr>
          </w:p>
        </w:tc>
        <w:tc>
          <w:tcPr>
            <w:tcW w:w="2050" w:type="dxa"/>
            <w:tcBorders>
              <w:top w:val="single" w:color="auto" w:sz="4" w:space="0"/>
              <w:bottom w:val="single" w:color="auto" w:sz="4" w:space="0"/>
            </w:tcBorders>
            <w:vAlign w:val="center"/>
          </w:tcPr>
          <w:p w14:paraId="2B7DBE06">
            <w:pPr>
              <w:widowControl/>
              <w:jc w:val="left"/>
              <w:rPr>
                <w:rFonts w:hint="eastAsia" w:ascii="宋体" w:hAnsi="宋体" w:cs="宋体"/>
                <w:color w:val="000000"/>
                <w:kern w:val="0"/>
                <w:szCs w:val="21"/>
              </w:rPr>
            </w:pPr>
          </w:p>
        </w:tc>
        <w:tc>
          <w:tcPr>
            <w:tcW w:w="1552" w:type="dxa"/>
            <w:tcBorders>
              <w:top w:val="single" w:color="auto" w:sz="4" w:space="0"/>
              <w:bottom w:val="single" w:color="auto" w:sz="4" w:space="0"/>
            </w:tcBorders>
            <w:vAlign w:val="center"/>
          </w:tcPr>
          <w:p w14:paraId="26EC55CD">
            <w:pPr>
              <w:widowControl/>
              <w:jc w:val="right"/>
              <w:rPr>
                <w:rFonts w:hint="eastAsia" w:ascii="宋体" w:hAnsi="宋体" w:cs="宋体"/>
                <w:color w:val="000000"/>
                <w:kern w:val="0"/>
                <w:szCs w:val="21"/>
              </w:rPr>
            </w:pPr>
          </w:p>
        </w:tc>
        <w:tc>
          <w:tcPr>
            <w:tcW w:w="1491" w:type="dxa"/>
            <w:tcBorders>
              <w:top w:val="single" w:color="auto" w:sz="4" w:space="0"/>
              <w:bottom w:val="single" w:color="auto" w:sz="4" w:space="0"/>
            </w:tcBorders>
            <w:vAlign w:val="center"/>
          </w:tcPr>
          <w:p w14:paraId="70571E17">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3ADD21EA">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D95C1B1">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152A9E15">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86FBBA4">
            <w:pPr>
              <w:widowControl/>
              <w:jc w:val="right"/>
              <w:rPr>
                <w:rFonts w:hint="eastAsia" w:ascii="宋体" w:hAnsi="宋体" w:cs="宋体"/>
                <w:color w:val="000000"/>
                <w:kern w:val="0"/>
                <w:szCs w:val="21"/>
              </w:rPr>
            </w:pPr>
          </w:p>
        </w:tc>
        <w:tc>
          <w:tcPr>
            <w:tcW w:w="1568" w:type="dxa"/>
            <w:tcBorders>
              <w:top w:val="single" w:color="auto" w:sz="4" w:space="0"/>
              <w:bottom w:val="single" w:color="auto" w:sz="4" w:space="0"/>
            </w:tcBorders>
            <w:vAlign w:val="center"/>
          </w:tcPr>
          <w:p w14:paraId="13D9F305">
            <w:pPr>
              <w:widowControl/>
              <w:jc w:val="right"/>
              <w:textAlignment w:val="center"/>
              <w:rPr>
                <w:rFonts w:hint="eastAsia" w:ascii="宋体" w:hAnsi="宋体" w:cs="宋体"/>
                <w:color w:val="000000"/>
                <w:kern w:val="0"/>
                <w:szCs w:val="21"/>
              </w:rPr>
            </w:pPr>
          </w:p>
        </w:tc>
      </w:tr>
    </w:tbl>
    <w:p w14:paraId="7C647155">
      <w:pPr>
        <w:rPr>
          <w:rFonts w:hint="eastAsia"/>
          <w:color w:val="000000"/>
        </w:rPr>
      </w:pPr>
    </w:p>
    <w:p w14:paraId="691ABB36">
      <w:pPr>
        <w:rPr>
          <w:rFonts w:hint="eastAsia"/>
        </w:rPr>
      </w:pPr>
      <w:r>
        <w:rPr>
          <w:rFonts w:hint="eastAsia"/>
          <w:color w:val="000000"/>
        </w:rPr>
        <w:t>注：</w:t>
      </w:r>
      <w:bookmarkStart w:id="2" w:name="PO_part2Table1Remark2"/>
      <w:r>
        <w:rPr>
          <w:rFonts w:hint="eastAsia"/>
          <w:color w:val="000000"/>
        </w:rPr>
        <w:t xml:space="preserve"> 本表反映部门</w:t>
      </w:r>
      <w:r>
        <w:rPr>
          <w:rFonts w:hint="eastAsia"/>
          <w:color w:val="000000"/>
          <w:lang w:val="en-US" w:eastAsia="zh-CN"/>
        </w:rPr>
        <w:t>2024</w:t>
      </w:r>
      <w:r>
        <w:rPr>
          <w:rFonts w:hint="eastAsia"/>
          <w:color w:val="000000"/>
        </w:rPr>
        <w:t xml:space="preserve">年度取得的各项收入情况。 </w:t>
      </w:r>
      <w:bookmarkEnd w:id="2"/>
      <w:r>
        <w:rPr>
          <w:rFonts w:hint="eastAsia"/>
          <w:color w:val="000000"/>
        </w:rPr>
        <w:t xml:space="preserve"> </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313D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center"/>
          </w:tcPr>
          <w:p w14:paraId="6CB81E8E">
            <w:pPr>
              <w:keepNext w:val="0"/>
              <w:keepLines w:val="0"/>
              <w:pageBreakBefore/>
              <w:widowControl/>
              <w:kinsoku/>
              <w:wordWrap/>
              <w:overflowPunct/>
              <w:topLinePunct w:val="0"/>
              <w:autoSpaceDE/>
              <w:autoSpaceDN/>
              <w:bidi w:val="0"/>
              <w:adjustRightInd/>
              <w:snapToGrid/>
              <w:jc w:val="right"/>
              <w:textAlignment w:val="auto"/>
              <w:rPr>
                <w:rFonts w:ascii="宋体" w:hAnsi="宋体" w:cs="宋体"/>
                <w:color w:val="000000"/>
                <w:szCs w:val="21"/>
              </w:rPr>
            </w:pPr>
            <w:r>
              <w:rPr>
                <w:rFonts w:hint="eastAsia" w:ascii="宋体" w:hAnsi="宋体" w:cs="宋体"/>
                <w:color w:val="000000"/>
                <w:kern w:val="0"/>
                <w:sz w:val="20"/>
                <w:szCs w:val="20"/>
              </w:rPr>
              <w:t>表3</w:t>
            </w:r>
          </w:p>
        </w:tc>
      </w:tr>
      <w:tr w14:paraId="2E7F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71D20ABA">
            <w:pPr>
              <w:jc w:val="center"/>
              <w:rPr>
                <w:rFonts w:ascii="宋体" w:hAnsi="宋体" w:cs="宋体"/>
                <w:b/>
                <w:color w:val="000000"/>
                <w:szCs w:val="21"/>
              </w:rPr>
            </w:pPr>
            <w:r>
              <w:rPr>
                <w:rFonts w:hint="eastAsia" w:ascii="宋体" w:hAnsi="宋体" w:cs="宋体"/>
                <w:b/>
                <w:color w:val="000000"/>
                <w:kern w:val="0"/>
                <w:sz w:val="32"/>
                <w:szCs w:val="32"/>
              </w:rPr>
              <w:t>支出决算表</w:t>
            </w:r>
          </w:p>
        </w:tc>
      </w:tr>
      <w:tr w14:paraId="035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center"/>
          </w:tcPr>
          <w:p w14:paraId="0A106187">
            <w:pPr>
              <w:jc w:val="left"/>
              <w:rPr>
                <w:rFonts w:ascii="宋体" w:hAnsi="宋体" w:cs="宋体"/>
                <w:color w:val="000000"/>
                <w:szCs w:val="21"/>
              </w:rPr>
            </w:pPr>
            <w:r>
              <w:rPr>
                <w:rFonts w:hint="eastAsia" w:ascii="宋体" w:hAnsi="宋体" w:cs="宋体"/>
                <w:color w:val="000000"/>
                <w:kern w:val="0"/>
                <w:sz w:val="20"/>
                <w:szCs w:val="20"/>
              </w:rPr>
              <w:t>部门</w:t>
            </w:r>
            <w:r>
              <w:rPr>
                <w:rFonts w:hint="eastAsia" w:ascii="宋体" w:hAnsi="宋体" w:cs="宋体"/>
                <w:color w:val="000000"/>
                <w:kern w:val="0"/>
                <w:szCs w:val="21"/>
              </w:rPr>
              <w:t>：</w:t>
            </w:r>
            <w:bookmarkStart w:id="3" w:name="PO_part2Table1DivName3"/>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3"/>
          </w:p>
        </w:tc>
        <w:tc>
          <w:tcPr>
            <w:tcW w:w="1772" w:type="dxa"/>
            <w:tcBorders>
              <w:top w:val="nil"/>
              <w:left w:val="nil"/>
              <w:bottom w:val="single" w:color="auto" w:sz="4" w:space="0"/>
              <w:right w:val="nil"/>
            </w:tcBorders>
            <w:vAlign w:val="center"/>
          </w:tcPr>
          <w:p w14:paraId="443D58DE">
            <w:pPr>
              <w:widowControl/>
              <w:jc w:val="right"/>
              <w:rPr>
                <w:rFonts w:ascii="宋体" w:hAnsi="宋体" w:cs="宋体"/>
                <w:color w:val="000000"/>
                <w:kern w:val="0"/>
                <w:szCs w:val="21"/>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Cs w:val="21"/>
              </w:rPr>
              <w:t>元</w:t>
            </w:r>
          </w:p>
        </w:tc>
      </w:tr>
      <w:tr w14:paraId="55F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14:paraId="78DF81F3">
            <w:pPr>
              <w:jc w:val="center"/>
              <w:rPr>
                <w:rFonts w:ascii="宋体" w:hAnsi="宋体" w:cs="宋体"/>
                <w:color w:val="000000"/>
                <w:szCs w:val="21"/>
              </w:rPr>
            </w:pPr>
            <w:r>
              <w:rPr>
                <w:rFonts w:hint="eastAsia" w:ascii="宋体" w:hAnsi="宋体" w:cs="宋体"/>
                <w:color w:val="000000"/>
                <w:kern w:val="0"/>
                <w:szCs w:val="21"/>
              </w:rPr>
              <w:t>项    目</w:t>
            </w:r>
          </w:p>
        </w:tc>
        <w:tc>
          <w:tcPr>
            <w:tcW w:w="1772" w:type="dxa"/>
            <w:vMerge w:val="restart"/>
            <w:tcBorders>
              <w:top w:val="single" w:color="auto" w:sz="4" w:space="0"/>
            </w:tcBorders>
            <w:vAlign w:val="center"/>
          </w:tcPr>
          <w:p w14:paraId="0589FCE3">
            <w:pPr>
              <w:widowControl/>
              <w:jc w:val="center"/>
              <w:rPr>
                <w:rFonts w:ascii="宋体" w:hAnsi="宋体" w:cs="宋体"/>
                <w:color w:val="000000"/>
                <w:kern w:val="0"/>
                <w:szCs w:val="21"/>
              </w:rPr>
            </w:pPr>
            <w:r>
              <w:rPr>
                <w:rFonts w:hint="eastAsia" w:ascii="宋体" w:hAnsi="宋体" w:cs="宋体"/>
                <w:color w:val="000000"/>
                <w:kern w:val="0"/>
                <w:szCs w:val="21"/>
              </w:rPr>
              <w:t>本年支出合计</w:t>
            </w:r>
          </w:p>
        </w:tc>
        <w:tc>
          <w:tcPr>
            <w:tcW w:w="1772" w:type="dxa"/>
            <w:vMerge w:val="restart"/>
            <w:tcBorders>
              <w:top w:val="single" w:color="auto" w:sz="4" w:space="0"/>
            </w:tcBorders>
            <w:vAlign w:val="center"/>
          </w:tcPr>
          <w:p w14:paraId="4DD3723F">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Merge w:val="restart"/>
            <w:tcBorders>
              <w:top w:val="single" w:color="auto" w:sz="4" w:space="0"/>
            </w:tcBorders>
            <w:vAlign w:val="center"/>
          </w:tcPr>
          <w:p w14:paraId="05106295">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restart"/>
            <w:tcBorders>
              <w:top w:val="single" w:color="auto" w:sz="4" w:space="0"/>
            </w:tcBorders>
            <w:vAlign w:val="center"/>
          </w:tcPr>
          <w:p w14:paraId="2C88B0C7">
            <w:pPr>
              <w:widowControl/>
              <w:jc w:val="center"/>
              <w:rPr>
                <w:rFonts w:ascii="宋体" w:hAnsi="宋体" w:cs="宋体"/>
                <w:color w:val="000000"/>
                <w:kern w:val="0"/>
                <w:szCs w:val="21"/>
              </w:rPr>
            </w:pPr>
            <w:r>
              <w:rPr>
                <w:rFonts w:hint="eastAsia" w:ascii="宋体" w:hAnsi="宋体" w:cs="宋体"/>
                <w:color w:val="000000"/>
                <w:kern w:val="0"/>
                <w:szCs w:val="21"/>
              </w:rPr>
              <w:t>上缴上级支出</w:t>
            </w:r>
          </w:p>
        </w:tc>
        <w:tc>
          <w:tcPr>
            <w:tcW w:w="1772" w:type="dxa"/>
            <w:vMerge w:val="restart"/>
            <w:tcBorders>
              <w:top w:val="single" w:color="auto" w:sz="4" w:space="0"/>
            </w:tcBorders>
            <w:vAlign w:val="center"/>
          </w:tcPr>
          <w:p w14:paraId="3FC966FD">
            <w:pPr>
              <w:widowControl/>
              <w:jc w:val="center"/>
              <w:rPr>
                <w:rFonts w:ascii="宋体" w:hAnsi="宋体" w:cs="宋体"/>
                <w:color w:val="000000"/>
                <w:kern w:val="0"/>
                <w:szCs w:val="21"/>
              </w:rPr>
            </w:pPr>
            <w:r>
              <w:rPr>
                <w:rFonts w:hint="eastAsia" w:ascii="宋体" w:hAnsi="宋体" w:cs="宋体"/>
                <w:color w:val="000000"/>
                <w:kern w:val="0"/>
                <w:szCs w:val="21"/>
              </w:rPr>
              <w:t>经营支出</w:t>
            </w:r>
          </w:p>
        </w:tc>
        <w:tc>
          <w:tcPr>
            <w:tcW w:w="1772" w:type="dxa"/>
            <w:vMerge w:val="restart"/>
            <w:tcBorders>
              <w:top w:val="single" w:color="auto" w:sz="4" w:space="0"/>
            </w:tcBorders>
            <w:vAlign w:val="center"/>
          </w:tcPr>
          <w:p w14:paraId="556E2F86">
            <w:pPr>
              <w:widowControl/>
              <w:jc w:val="center"/>
              <w:rPr>
                <w:rFonts w:ascii="宋体" w:hAnsi="宋体" w:cs="宋体"/>
                <w:color w:val="000000"/>
                <w:kern w:val="0"/>
                <w:szCs w:val="21"/>
              </w:rPr>
            </w:pPr>
            <w:r>
              <w:rPr>
                <w:rFonts w:hint="eastAsia" w:ascii="宋体" w:hAnsi="宋体" w:cs="宋体"/>
                <w:color w:val="000000"/>
                <w:kern w:val="0"/>
                <w:szCs w:val="21"/>
              </w:rPr>
              <w:t>对附属单位补助支出</w:t>
            </w:r>
          </w:p>
        </w:tc>
      </w:tr>
      <w:tr w14:paraId="6C8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vAlign w:val="center"/>
          </w:tcPr>
          <w:p w14:paraId="4311C8E1">
            <w:pPr>
              <w:jc w:val="center"/>
              <w:rPr>
                <w:rFonts w:ascii="宋体" w:hAnsi="宋体" w:cs="宋体"/>
                <w:color w:val="000000"/>
                <w:szCs w:val="21"/>
              </w:rPr>
            </w:pPr>
            <w:r>
              <w:rPr>
                <w:rFonts w:hint="eastAsia" w:ascii="宋体" w:hAnsi="宋体" w:cs="宋体"/>
                <w:color w:val="000000"/>
                <w:kern w:val="0"/>
                <w:szCs w:val="21"/>
              </w:rPr>
              <w:t>科目编码</w:t>
            </w:r>
          </w:p>
        </w:tc>
        <w:tc>
          <w:tcPr>
            <w:tcW w:w="2174" w:type="dxa"/>
            <w:vAlign w:val="center"/>
          </w:tcPr>
          <w:p w14:paraId="784C81D2">
            <w:pPr>
              <w:jc w:val="center"/>
              <w:rPr>
                <w:rFonts w:ascii="宋体" w:hAnsi="宋体" w:cs="宋体"/>
                <w:color w:val="000000"/>
                <w:szCs w:val="21"/>
              </w:rPr>
            </w:pPr>
            <w:r>
              <w:rPr>
                <w:rFonts w:hint="eastAsia" w:ascii="宋体" w:hAnsi="宋体" w:cs="宋体"/>
                <w:color w:val="000000"/>
                <w:kern w:val="0"/>
                <w:szCs w:val="21"/>
              </w:rPr>
              <w:t>科目名称</w:t>
            </w:r>
          </w:p>
        </w:tc>
        <w:tc>
          <w:tcPr>
            <w:tcW w:w="1772" w:type="dxa"/>
            <w:vMerge w:val="continue"/>
          </w:tcPr>
          <w:p w14:paraId="1C40F970">
            <w:pPr>
              <w:spacing w:line="288" w:lineRule="auto"/>
              <w:rPr>
                <w:rFonts w:ascii="宋体" w:hAnsi="宋体" w:cs="宋体"/>
                <w:color w:val="000000"/>
                <w:szCs w:val="21"/>
              </w:rPr>
            </w:pPr>
          </w:p>
        </w:tc>
        <w:tc>
          <w:tcPr>
            <w:tcW w:w="1772" w:type="dxa"/>
            <w:vMerge w:val="continue"/>
          </w:tcPr>
          <w:p w14:paraId="17588554">
            <w:pPr>
              <w:spacing w:line="288" w:lineRule="auto"/>
              <w:rPr>
                <w:rFonts w:ascii="宋体" w:hAnsi="宋体" w:cs="宋体"/>
                <w:color w:val="000000"/>
                <w:szCs w:val="21"/>
              </w:rPr>
            </w:pPr>
          </w:p>
        </w:tc>
        <w:tc>
          <w:tcPr>
            <w:tcW w:w="1772" w:type="dxa"/>
            <w:vMerge w:val="continue"/>
          </w:tcPr>
          <w:p w14:paraId="34107CAD">
            <w:pPr>
              <w:spacing w:line="288" w:lineRule="auto"/>
              <w:rPr>
                <w:rFonts w:ascii="宋体" w:hAnsi="宋体" w:cs="宋体"/>
                <w:color w:val="000000"/>
                <w:szCs w:val="21"/>
              </w:rPr>
            </w:pPr>
          </w:p>
        </w:tc>
        <w:tc>
          <w:tcPr>
            <w:tcW w:w="1772" w:type="dxa"/>
            <w:vMerge w:val="continue"/>
          </w:tcPr>
          <w:p w14:paraId="5941714E">
            <w:pPr>
              <w:spacing w:line="288" w:lineRule="auto"/>
              <w:rPr>
                <w:rFonts w:ascii="宋体" w:hAnsi="宋体" w:cs="宋体"/>
                <w:color w:val="000000"/>
                <w:szCs w:val="21"/>
              </w:rPr>
            </w:pPr>
          </w:p>
        </w:tc>
        <w:tc>
          <w:tcPr>
            <w:tcW w:w="1772" w:type="dxa"/>
            <w:vMerge w:val="continue"/>
          </w:tcPr>
          <w:p w14:paraId="5DB18490">
            <w:pPr>
              <w:spacing w:line="288" w:lineRule="auto"/>
              <w:rPr>
                <w:rFonts w:ascii="宋体" w:hAnsi="宋体" w:cs="宋体"/>
                <w:color w:val="000000"/>
                <w:szCs w:val="21"/>
              </w:rPr>
            </w:pPr>
          </w:p>
        </w:tc>
        <w:tc>
          <w:tcPr>
            <w:tcW w:w="1772" w:type="dxa"/>
            <w:vMerge w:val="continue"/>
          </w:tcPr>
          <w:p w14:paraId="765F8DD6">
            <w:pPr>
              <w:spacing w:line="288" w:lineRule="auto"/>
              <w:rPr>
                <w:rFonts w:ascii="宋体" w:hAnsi="宋体" w:cs="宋体"/>
                <w:color w:val="000000"/>
                <w:szCs w:val="21"/>
              </w:rPr>
            </w:pPr>
          </w:p>
        </w:tc>
      </w:tr>
      <w:tr w14:paraId="3DB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14:paraId="4FFE1718">
            <w:pPr>
              <w:jc w:val="center"/>
              <w:rPr>
                <w:rFonts w:ascii="宋体" w:hAnsi="宋体" w:cs="宋体"/>
                <w:color w:val="000000"/>
                <w:szCs w:val="21"/>
              </w:rPr>
            </w:pPr>
            <w:r>
              <w:rPr>
                <w:rFonts w:hint="eastAsia" w:ascii="宋体" w:hAnsi="宋体" w:cs="宋体"/>
                <w:color w:val="000000"/>
                <w:kern w:val="0"/>
                <w:szCs w:val="21"/>
              </w:rPr>
              <w:t>栏次</w:t>
            </w:r>
          </w:p>
        </w:tc>
        <w:tc>
          <w:tcPr>
            <w:tcW w:w="1772" w:type="dxa"/>
            <w:vAlign w:val="center"/>
          </w:tcPr>
          <w:p w14:paraId="2E937A9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72" w:type="dxa"/>
            <w:vAlign w:val="center"/>
          </w:tcPr>
          <w:p w14:paraId="3DA3404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F2AF04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E63B62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7775C14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550C9508">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663A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76F1B952">
            <w:pPr>
              <w:jc w:val="center"/>
              <w:rPr>
                <w:rFonts w:ascii="宋体" w:hAnsi="宋体" w:cs="宋体"/>
                <w:color w:val="000000"/>
                <w:szCs w:val="21"/>
              </w:rPr>
            </w:pPr>
          </w:p>
        </w:tc>
        <w:tc>
          <w:tcPr>
            <w:tcW w:w="2174" w:type="dxa"/>
            <w:vAlign w:val="center"/>
          </w:tcPr>
          <w:p w14:paraId="5475FE9D">
            <w:pPr>
              <w:jc w:val="center"/>
              <w:rPr>
                <w:rFonts w:ascii="宋体" w:hAnsi="宋体" w:cs="宋体"/>
                <w:color w:val="000000"/>
                <w:szCs w:val="21"/>
              </w:rPr>
            </w:pPr>
            <w:r>
              <w:rPr>
                <w:rFonts w:hint="eastAsia" w:ascii="宋体" w:hAnsi="宋体" w:cs="宋体"/>
                <w:color w:val="000000"/>
                <w:szCs w:val="21"/>
              </w:rPr>
              <w:t>合计</w:t>
            </w:r>
          </w:p>
        </w:tc>
        <w:tc>
          <w:tcPr>
            <w:tcW w:w="1772" w:type="dxa"/>
            <w:vAlign w:val="center"/>
          </w:tcPr>
          <w:p w14:paraId="630B40F4">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161.18</w:t>
            </w:r>
          </w:p>
        </w:tc>
        <w:tc>
          <w:tcPr>
            <w:tcW w:w="1772" w:type="dxa"/>
            <w:vAlign w:val="center"/>
          </w:tcPr>
          <w:p w14:paraId="3B5913B1">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161.18</w:t>
            </w:r>
          </w:p>
        </w:tc>
        <w:tc>
          <w:tcPr>
            <w:tcW w:w="1772" w:type="dxa"/>
            <w:vAlign w:val="center"/>
          </w:tcPr>
          <w:p w14:paraId="0ED7E63D">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0</w:t>
            </w:r>
          </w:p>
        </w:tc>
        <w:tc>
          <w:tcPr>
            <w:tcW w:w="1772" w:type="dxa"/>
            <w:vAlign w:val="center"/>
          </w:tcPr>
          <w:p w14:paraId="41E9C40C">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735BF77D">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219F031E">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2010350</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事业运行</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114.07</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114.07</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2080505</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20.02</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20.02</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2080506</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10.01</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10.01</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2101102</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4.97</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4.97</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2210201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12.11</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12.11</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F0D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320C6DE">
            <w:pPr>
              <w:widowControl/>
              <w:rPr>
                <w:rFonts w:hint="eastAsia" w:ascii="宋体" w:hAnsi="宋体" w:cs="宋体"/>
                <w:color w:val="000000"/>
                <w:kern w:val="0"/>
                <w:szCs w:val="21"/>
              </w:rPr>
            </w:pPr>
          </w:p>
        </w:tc>
        <w:tc>
          <w:tcPr>
            <w:tcW w:w="2174" w:type="dxa"/>
            <w:vAlign w:val="center"/>
          </w:tcPr>
          <w:p w14:paraId="1C659BD4">
            <w:pPr>
              <w:widowControl/>
              <w:jc w:val="left"/>
              <w:rPr>
                <w:rFonts w:hint="eastAsia" w:ascii="宋体" w:hAnsi="宋体" w:cs="宋体"/>
                <w:color w:val="000000"/>
                <w:kern w:val="0"/>
                <w:szCs w:val="21"/>
              </w:rPr>
            </w:pPr>
          </w:p>
        </w:tc>
        <w:tc>
          <w:tcPr>
            <w:tcW w:w="1772" w:type="dxa"/>
            <w:vAlign w:val="center"/>
          </w:tcPr>
          <w:p w14:paraId="21C6024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042E6E5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637CA383">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78FCE773">
            <w:pPr>
              <w:widowControl/>
              <w:jc w:val="right"/>
              <w:rPr>
                <w:rFonts w:hint="eastAsia" w:ascii="宋体" w:hAnsi="宋体" w:cs="宋体"/>
                <w:color w:val="000000"/>
                <w:kern w:val="0"/>
                <w:szCs w:val="21"/>
              </w:rPr>
            </w:pPr>
          </w:p>
        </w:tc>
        <w:tc>
          <w:tcPr>
            <w:tcW w:w="1772" w:type="dxa"/>
            <w:vAlign w:val="center"/>
          </w:tcPr>
          <w:p w14:paraId="2FE807CB">
            <w:pPr>
              <w:widowControl/>
              <w:jc w:val="right"/>
              <w:rPr>
                <w:rFonts w:hint="eastAsia" w:ascii="宋体" w:hAnsi="宋体" w:cs="宋体"/>
                <w:color w:val="000000"/>
                <w:kern w:val="0"/>
                <w:szCs w:val="21"/>
              </w:rPr>
            </w:pPr>
          </w:p>
        </w:tc>
        <w:tc>
          <w:tcPr>
            <w:tcW w:w="1772" w:type="dxa"/>
            <w:vAlign w:val="center"/>
          </w:tcPr>
          <w:p w14:paraId="74FC7834">
            <w:pPr>
              <w:widowControl/>
              <w:jc w:val="right"/>
              <w:rPr>
                <w:rFonts w:hint="eastAsia" w:ascii="宋体" w:hAnsi="宋体" w:cs="宋体"/>
                <w:color w:val="000000"/>
                <w:kern w:val="0"/>
                <w:szCs w:val="21"/>
              </w:rPr>
            </w:pPr>
          </w:p>
        </w:tc>
      </w:tr>
    </w:tbl>
    <w:p w14:paraId="14C73340">
      <w:pPr>
        <w:rPr>
          <w:rFonts w:hint="eastAsia"/>
          <w:color w:val="000000"/>
        </w:rPr>
      </w:pPr>
    </w:p>
    <w:p w14:paraId="70F99B63">
      <w:pPr>
        <w:rPr>
          <w:color w:val="000000"/>
        </w:rPr>
        <w:sectPr>
          <w:pgSz w:w="16838" w:h="11906" w:orient="landscape"/>
          <w:pgMar w:top="1800" w:right="1440" w:bottom="1800" w:left="1440" w:header="851" w:footer="992" w:gutter="0"/>
          <w:cols w:space="720" w:num="1"/>
          <w:docGrid w:type="lines" w:linePitch="312" w:charSpace="0"/>
        </w:sectPr>
      </w:pPr>
      <w:r>
        <w:rPr>
          <w:rFonts w:hint="eastAsia"/>
          <w:color w:val="000000"/>
        </w:rPr>
        <w:t>注：</w:t>
      </w:r>
      <w:bookmarkStart w:id="4" w:name="PO_part2Table1Remark3"/>
      <w:r>
        <w:rPr>
          <w:rFonts w:hint="eastAsia"/>
          <w:color w:val="000000"/>
        </w:rPr>
        <w:t xml:space="preserve"> 本表反映部门</w:t>
      </w:r>
      <w:r>
        <w:rPr>
          <w:rFonts w:hint="eastAsia"/>
          <w:color w:val="000000"/>
          <w:lang w:val="en-US" w:eastAsia="zh-CN"/>
        </w:rPr>
        <w:t>2024</w:t>
      </w:r>
      <w:r>
        <w:rPr>
          <w:rFonts w:hint="eastAsia"/>
          <w:color w:val="000000"/>
        </w:rPr>
        <w:t xml:space="preserve">年度各项支出情况。 </w:t>
      </w:r>
      <w:bookmarkEnd w:id="4"/>
      <w:r>
        <w:rPr>
          <w:rFonts w:hint="eastAsia"/>
          <w:color w:val="000000"/>
        </w:rPr>
        <w:t xml:space="preserve"> </w:t>
      </w:r>
    </w:p>
    <w:p w14:paraId="578C472D">
      <w:pPr>
        <w:jc w:val="left"/>
        <w:rPr>
          <w:rFonts w:hint="eastAsia"/>
        </w:rPr>
      </w:pP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678"/>
        <w:gridCol w:w="1338"/>
        <w:gridCol w:w="2464"/>
        <w:gridCol w:w="688"/>
        <w:gridCol w:w="1575"/>
        <w:gridCol w:w="1576"/>
        <w:gridCol w:w="1572"/>
        <w:gridCol w:w="1564"/>
      </w:tblGrid>
      <w:tr w14:paraId="2E70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vAlign w:val="center"/>
          </w:tcPr>
          <w:p w14:paraId="473B3CC9">
            <w:pPr>
              <w:jc w:val="right"/>
              <w:rPr>
                <w:rFonts w:ascii="宋体" w:hAnsi="宋体" w:cs="宋体"/>
                <w:color w:val="000000"/>
                <w:kern w:val="0"/>
                <w:sz w:val="20"/>
                <w:szCs w:val="20"/>
              </w:rPr>
            </w:pPr>
            <w:r>
              <w:rPr>
                <w:rFonts w:hint="eastAsia" w:ascii="宋体" w:hAnsi="宋体" w:cs="宋体"/>
                <w:color w:val="000000"/>
                <w:kern w:val="0"/>
                <w:sz w:val="20"/>
                <w:szCs w:val="20"/>
              </w:rPr>
              <w:t>表4</w:t>
            </w:r>
          </w:p>
        </w:tc>
      </w:tr>
      <w:tr w14:paraId="445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tcPr>
          <w:p w14:paraId="72FF678C">
            <w:pPr>
              <w:jc w:val="center"/>
              <w:rPr>
                <w:rFonts w:ascii="宋体" w:hAnsi="宋体" w:cs="宋体"/>
                <w:b/>
                <w:color w:val="000000"/>
                <w:kern w:val="0"/>
                <w:sz w:val="32"/>
                <w:szCs w:val="32"/>
              </w:rPr>
            </w:pPr>
            <w:r>
              <w:rPr>
                <w:rFonts w:hint="eastAsia" w:ascii="宋体" w:hAnsi="宋体" w:cs="宋体"/>
                <w:b/>
                <w:color w:val="000000"/>
                <w:kern w:val="0"/>
                <w:sz w:val="32"/>
                <w:szCs w:val="32"/>
              </w:rPr>
              <w:t>财政拨款收入支出决算总表</w:t>
            </w:r>
          </w:p>
        </w:tc>
      </w:tr>
      <w:tr w14:paraId="6D9B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027" w:type="dxa"/>
            <w:gridSpan w:val="7"/>
            <w:tcBorders>
              <w:top w:val="nil"/>
              <w:left w:val="nil"/>
              <w:bottom w:val="single" w:color="auto" w:sz="4" w:space="0"/>
              <w:right w:val="nil"/>
            </w:tcBorders>
          </w:tcPr>
          <w:p w14:paraId="0C033189">
            <w:pPr>
              <w:spacing w:line="288" w:lineRule="auto"/>
              <w:rPr>
                <w:rFonts w:ascii="宋体" w:hAnsi="宋体" w:cs="宋体"/>
                <w:color w:val="000000"/>
                <w:sz w:val="28"/>
                <w:szCs w:val="28"/>
              </w:rPr>
            </w:pPr>
            <w:r>
              <w:rPr>
                <w:rFonts w:hint="eastAsia" w:ascii="宋体" w:hAnsi="宋体" w:cs="宋体"/>
                <w:color w:val="000000"/>
                <w:kern w:val="0"/>
                <w:sz w:val="20"/>
                <w:szCs w:val="20"/>
              </w:rPr>
              <w:t>部门：</w:t>
            </w:r>
            <w:bookmarkStart w:id="5" w:name="PO_part2Table1DivName4"/>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5"/>
          </w:p>
        </w:tc>
        <w:tc>
          <w:tcPr>
            <w:tcW w:w="3136" w:type="dxa"/>
            <w:gridSpan w:val="2"/>
            <w:tcBorders>
              <w:top w:val="nil"/>
              <w:left w:val="nil"/>
              <w:bottom w:val="single" w:color="auto" w:sz="4" w:space="0"/>
              <w:right w:val="nil"/>
            </w:tcBorders>
            <w:vAlign w:val="center"/>
          </w:tcPr>
          <w:p w14:paraId="152C00A6">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3155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4" w:type="dxa"/>
            <w:gridSpan w:val="3"/>
            <w:tcBorders>
              <w:top w:val="single" w:color="auto" w:sz="4" w:space="0"/>
            </w:tcBorders>
            <w:vAlign w:val="center"/>
          </w:tcPr>
          <w:p w14:paraId="224ECB73">
            <w:pPr>
              <w:jc w:val="center"/>
              <w:rPr>
                <w:rFonts w:ascii="宋体" w:hAnsi="宋体" w:cs="宋体"/>
                <w:color w:val="000000"/>
                <w:szCs w:val="21"/>
              </w:rPr>
            </w:pPr>
            <w:r>
              <w:rPr>
                <w:rFonts w:hint="eastAsia" w:ascii="宋体" w:hAnsi="宋体" w:cs="宋体"/>
                <w:color w:val="000000"/>
                <w:kern w:val="0"/>
                <w:szCs w:val="21"/>
              </w:rPr>
              <w:t>收入</w:t>
            </w:r>
          </w:p>
        </w:tc>
        <w:tc>
          <w:tcPr>
            <w:tcW w:w="9439" w:type="dxa"/>
            <w:gridSpan w:val="6"/>
            <w:tcBorders>
              <w:top w:val="single" w:color="auto" w:sz="4" w:space="0"/>
            </w:tcBorders>
            <w:vAlign w:val="center"/>
          </w:tcPr>
          <w:p w14:paraId="05735183">
            <w:pPr>
              <w:jc w:val="center"/>
              <w:rPr>
                <w:rFonts w:ascii="宋体" w:hAnsi="宋体" w:cs="宋体"/>
                <w:color w:val="000000"/>
                <w:kern w:val="0"/>
                <w:szCs w:val="21"/>
              </w:rPr>
            </w:pPr>
            <w:r>
              <w:rPr>
                <w:rFonts w:hint="eastAsia" w:ascii="宋体" w:hAnsi="宋体" w:cs="宋体"/>
                <w:color w:val="000000"/>
                <w:kern w:val="0"/>
                <w:szCs w:val="21"/>
              </w:rPr>
              <w:t>支出</w:t>
            </w:r>
          </w:p>
        </w:tc>
      </w:tr>
      <w:tr w14:paraId="19C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54F754EE">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78" w:type="dxa"/>
            <w:vAlign w:val="center"/>
          </w:tcPr>
          <w:p w14:paraId="6201E4F7">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338" w:type="dxa"/>
            <w:vAlign w:val="center"/>
          </w:tcPr>
          <w:p w14:paraId="6DB367C4">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2464" w:type="dxa"/>
            <w:vAlign w:val="center"/>
          </w:tcPr>
          <w:p w14:paraId="01151823">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88" w:type="dxa"/>
            <w:vAlign w:val="center"/>
          </w:tcPr>
          <w:p w14:paraId="7B9573D5">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575" w:type="dxa"/>
            <w:vAlign w:val="center"/>
          </w:tcPr>
          <w:p w14:paraId="50C8F592">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76" w:type="dxa"/>
            <w:vAlign w:val="center"/>
          </w:tcPr>
          <w:p w14:paraId="1B49BBCD">
            <w:pPr>
              <w:widowControl/>
              <w:jc w:val="center"/>
              <w:rPr>
                <w:rFonts w:ascii="宋体" w:hAnsi="宋体" w:cs="宋体"/>
                <w:color w:val="000000"/>
                <w:kern w:val="0"/>
                <w:szCs w:val="21"/>
              </w:rPr>
            </w:pPr>
            <w:r>
              <w:rPr>
                <w:rFonts w:hint="eastAsia" w:ascii="宋体" w:hAnsi="宋体" w:cs="宋体"/>
                <w:color w:val="000000"/>
                <w:kern w:val="0"/>
                <w:szCs w:val="21"/>
              </w:rPr>
              <w:t>一般公共预算财政拨款</w:t>
            </w:r>
          </w:p>
        </w:tc>
        <w:tc>
          <w:tcPr>
            <w:tcW w:w="1572" w:type="dxa"/>
            <w:vAlign w:val="center"/>
          </w:tcPr>
          <w:p w14:paraId="77583F21">
            <w:pPr>
              <w:widowControl/>
              <w:jc w:val="center"/>
              <w:rPr>
                <w:rFonts w:ascii="宋体" w:hAnsi="宋体" w:cs="宋体"/>
                <w:color w:val="000000"/>
                <w:kern w:val="0"/>
                <w:szCs w:val="21"/>
              </w:rPr>
            </w:pPr>
            <w:r>
              <w:rPr>
                <w:rFonts w:hint="eastAsia" w:ascii="宋体" w:hAnsi="宋体" w:cs="宋体"/>
                <w:color w:val="000000"/>
                <w:kern w:val="0"/>
                <w:szCs w:val="21"/>
              </w:rPr>
              <w:t>政府性基金预算财政拨款</w:t>
            </w:r>
          </w:p>
        </w:tc>
        <w:tc>
          <w:tcPr>
            <w:tcW w:w="1564" w:type="dxa"/>
            <w:vAlign w:val="center"/>
          </w:tcPr>
          <w:p w14:paraId="10898712">
            <w:pPr>
              <w:widowControl/>
              <w:jc w:val="center"/>
              <w:rPr>
                <w:rFonts w:ascii="宋体" w:hAnsi="宋体" w:cs="宋体"/>
                <w:color w:val="000000"/>
                <w:kern w:val="0"/>
                <w:szCs w:val="21"/>
              </w:rPr>
            </w:pPr>
            <w:r>
              <w:rPr>
                <w:rFonts w:hint="eastAsia" w:ascii="宋体" w:hAnsi="宋体" w:cs="宋体"/>
                <w:color w:val="000000"/>
                <w:kern w:val="0"/>
                <w:szCs w:val="21"/>
              </w:rPr>
              <w:t>国有资本经营预算财政拨款</w:t>
            </w:r>
          </w:p>
        </w:tc>
      </w:tr>
      <w:tr w14:paraId="085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314DB9A4">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78" w:type="dxa"/>
            <w:vAlign w:val="center"/>
          </w:tcPr>
          <w:p w14:paraId="64237A9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338" w:type="dxa"/>
            <w:vAlign w:val="center"/>
          </w:tcPr>
          <w:p w14:paraId="4F91051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464" w:type="dxa"/>
            <w:vAlign w:val="center"/>
          </w:tcPr>
          <w:p w14:paraId="357C3AF0">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88" w:type="dxa"/>
            <w:vAlign w:val="center"/>
          </w:tcPr>
          <w:p w14:paraId="08BA2A6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75" w:type="dxa"/>
            <w:vAlign w:val="center"/>
          </w:tcPr>
          <w:p w14:paraId="5C877014">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76" w:type="dxa"/>
            <w:vAlign w:val="center"/>
          </w:tcPr>
          <w:p w14:paraId="70FFA9D8">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72" w:type="dxa"/>
            <w:vAlign w:val="center"/>
          </w:tcPr>
          <w:p w14:paraId="710CA1F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64" w:type="dxa"/>
            <w:vAlign w:val="center"/>
          </w:tcPr>
          <w:p w14:paraId="17D0E8F1">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一、一般公共服务支出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114.07</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114.07</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二、外交支出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三、国防支出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四、公共安全支出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五、教育支出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六、科学技术支出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七、文化旅游体育与传媒支出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八、社会保障和就业支出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30.03</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30.03</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九、卫生健康支出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41</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4.97</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4.97</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十、节能环保支出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42</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十一、城乡社区支出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十二、农林水支出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十三、交通运输支出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十四、资源勘探工业信息等支出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十五、商业服务业等支出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十六、金融支出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十七、援助其他地区支出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十八、自然资源海洋气象等支出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十九、住房保障支出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51</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12.11</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12.11</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二十、粮油物资储备支出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52</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二十一、国有资本经营预算支出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二十二、灾害防治及应急管理支出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二十三、其他支出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二十四、债务还本支出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二十五、债务付息支出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二十六、抗疫特别国债安排的支出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本年支出合计</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年初财政拨款结转和结余</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年末财政拨款结转和结余</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总计</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161.18</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C3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5C9AC2B3">
            <w:pPr>
              <w:widowControl/>
              <w:jc w:val="left"/>
              <w:rPr>
                <w:rFonts w:ascii="宋体" w:hAnsi="宋体" w:cs="宋体"/>
                <w:color w:val="000000"/>
                <w:kern w:val="0"/>
                <w:szCs w:val="21"/>
              </w:rPr>
            </w:pPr>
          </w:p>
        </w:tc>
        <w:tc>
          <w:tcPr>
            <w:tcW w:w="678" w:type="dxa"/>
            <w:vAlign w:val="center"/>
          </w:tcPr>
          <w:p w14:paraId="2537D52C">
            <w:pPr>
              <w:widowControl/>
              <w:jc w:val="center"/>
              <w:textAlignment w:val="center"/>
              <w:rPr>
                <w:rFonts w:hint="eastAsia" w:ascii="宋体" w:hAnsi="宋体" w:cs="宋体"/>
                <w:color w:val="000000"/>
                <w:kern w:val="0"/>
                <w:szCs w:val="21"/>
                <w:lang w:bidi="ar"/>
              </w:rPr>
            </w:pPr>
          </w:p>
        </w:tc>
        <w:tc>
          <w:tcPr>
            <w:tcW w:w="1338" w:type="dxa"/>
            <w:vAlign w:val="center"/>
          </w:tcPr>
          <w:p w14:paraId="6F044B1A">
            <w:pPr>
              <w:widowControl/>
              <w:jc w:val="right"/>
              <w:rPr>
                <w:rFonts w:ascii="宋体" w:hAnsi="宋体" w:cs="宋体"/>
                <w:color w:val="000000"/>
                <w:kern w:val="0"/>
                <w:szCs w:val="21"/>
              </w:rPr>
            </w:pPr>
          </w:p>
        </w:tc>
        <w:tc>
          <w:tcPr>
            <w:tcW w:w="2464" w:type="dxa"/>
          </w:tcPr>
          <w:p w14:paraId="6161BDB4">
            <w:pPr>
              <w:rPr>
                <w:rFonts w:hint="eastAsia" w:ascii="宋体" w:hAnsi="宋体" w:cs="宋体"/>
                <w:color w:val="000000"/>
                <w:szCs w:val="21"/>
              </w:rPr>
            </w:pPr>
          </w:p>
        </w:tc>
        <w:tc>
          <w:tcPr>
            <w:tcW w:w="688" w:type="dxa"/>
            <w:vAlign w:val="center"/>
          </w:tcPr>
          <w:p w14:paraId="5F3671B8">
            <w:pPr>
              <w:widowControl/>
              <w:jc w:val="center"/>
              <w:textAlignment w:val="center"/>
              <w:rPr>
                <w:rFonts w:ascii="宋体" w:hAnsi="宋体" w:cs="宋体"/>
                <w:color w:val="000000"/>
                <w:kern w:val="0"/>
                <w:szCs w:val="21"/>
                <w:lang w:bidi="ar"/>
              </w:rPr>
            </w:pPr>
          </w:p>
        </w:tc>
        <w:tc>
          <w:tcPr>
            <w:tcW w:w="1575" w:type="dxa"/>
            <w:vAlign w:val="center"/>
          </w:tcPr>
          <w:p w14:paraId="3C3C5C29">
            <w:pPr>
              <w:widowControl/>
              <w:jc w:val="right"/>
              <w:rPr>
                <w:rFonts w:hint="eastAsia" w:ascii="宋体" w:hAnsi="宋体" w:cs="宋体"/>
                <w:color w:val="000000"/>
                <w:kern w:val="0"/>
                <w:szCs w:val="21"/>
              </w:rPr>
            </w:pPr>
          </w:p>
        </w:tc>
        <w:tc>
          <w:tcPr>
            <w:tcW w:w="1576" w:type="dxa"/>
            <w:vAlign w:val="center"/>
          </w:tcPr>
          <w:p w14:paraId="583FD71E">
            <w:pPr>
              <w:widowControl/>
              <w:jc w:val="right"/>
              <w:rPr>
                <w:rFonts w:hint="eastAsia" w:ascii="宋体" w:hAnsi="宋体" w:cs="宋体"/>
                <w:color w:val="000000"/>
                <w:kern w:val="0"/>
                <w:szCs w:val="21"/>
              </w:rPr>
            </w:pPr>
          </w:p>
        </w:tc>
        <w:tc>
          <w:tcPr>
            <w:tcW w:w="1572" w:type="dxa"/>
            <w:vAlign w:val="center"/>
          </w:tcPr>
          <w:p w14:paraId="30C2AF31">
            <w:pPr>
              <w:widowControl/>
              <w:jc w:val="right"/>
              <w:rPr>
                <w:rFonts w:hint="eastAsia" w:ascii="宋体" w:hAnsi="宋体" w:cs="宋体"/>
                <w:color w:val="000000"/>
                <w:kern w:val="0"/>
                <w:szCs w:val="21"/>
              </w:rPr>
            </w:pPr>
          </w:p>
        </w:tc>
        <w:tc>
          <w:tcPr>
            <w:tcW w:w="1564" w:type="dxa"/>
            <w:vAlign w:val="center"/>
          </w:tcPr>
          <w:p w14:paraId="4A760E95">
            <w:pPr>
              <w:widowControl/>
              <w:jc w:val="right"/>
              <w:rPr>
                <w:rFonts w:hint="eastAsia" w:ascii="宋体" w:hAnsi="宋体" w:cs="宋体"/>
                <w:color w:val="000000"/>
                <w:kern w:val="0"/>
                <w:szCs w:val="21"/>
              </w:rPr>
            </w:pPr>
          </w:p>
        </w:tc>
      </w:tr>
    </w:tbl>
    <w:p w14:paraId="3E3B7C11">
      <w:pPr>
        <w:spacing w:line="560" w:lineRule="exact"/>
        <w:rPr>
          <w:rFonts w:hint="eastAsia"/>
          <w:color w:val="000000"/>
        </w:rPr>
      </w:pPr>
    </w:p>
    <w:p w14:paraId="045FA73E">
      <w:pPr>
        <w:spacing w:line="560" w:lineRule="exact"/>
        <w:rPr>
          <w:rFonts w:hint="eastAsia" w:ascii="仿宋_GB2312" w:eastAsia="仿宋_GB2312"/>
          <w:b/>
          <w:sz w:val="32"/>
          <w:szCs w:val="32"/>
        </w:rPr>
      </w:pPr>
      <w:r>
        <w:rPr>
          <w:rFonts w:hint="eastAsia"/>
          <w:color w:val="000000"/>
        </w:rPr>
        <w:t>注：</w:t>
      </w:r>
      <w:bookmarkStart w:id="6" w:name="PO_part2Table1Remark4"/>
      <w:r>
        <w:rPr>
          <w:rFonts w:hint="eastAsia"/>
          <w:color w:val="000000"/>
        </w:rPr>
        <w:t xml:space="preserve"> 本表反映部门</w:t>
      </w:r>
      <w:r>
        <w:rPr>
          <w:rFonts w:hint="eastAsia"/>
          <w:color w:val="000000"/>
          <w:lang w:val="en-US" w:eastAsia="zh-CN"/>
        </w:rPr>
        <w:t>2024</w:t>
      </w:r>
      <w:r>
        <w:rPr>
          <w:rFonts w:hint="eastAsia"/>
          <w:color w:val="000000"/>
        </w:rPr>
        <w:t>年度</w:t>
      </w:r>
      <w:r>
        <w:rPr>
          <w:rFonts w:hint="eastAsia" w:ascii="宋体" w:hAnsi="宋体" w:cs="Arial"/>
          <w:color w:val="000000"/>
          <w:kern w:val="0"/>
          <w:sz w:val="22"/>
          <w:szCs w:val="22"/>
        </w:rPr>
        <w:t xml:space="preserve">一般公共预算财政拨款、政府性基金预算财政拨款和国有资本经营预算财政拨款的总收支和年末结转结余情况。 </w:t>
      </w:r>
      <w:bookmarkEnd w:id="6"/>
      <w:r>
        <w:rPr>
          <w:rFonts w:hint="eastAsia" w:ascii="宋体" w:hAnsi="宋体" w:cs="Arial"/>
          <w:color w:val="000000"/>
          <w:kern w:val="0"/>
          <w:sz w:val="22"/>
          <w:szCs w:val="22"/>
        </w:rPr>
        <w:t xml:space="preserve"> </w:t>
      </w:r>
    </w:p>
    <w:p w14:paraId="1F59C6AB">
      <w:pPr>
        <w:spacing w:line="560" w:lineRule="exact"/>
        <w:rPr>
          <w:rFonts w:hint="eastAsia" w:ascii="仿宋_GB2312" w:eastAsia="仿宋_GB2312"/>
          <w:b/>
          <w:sz w:val="32"/>
          <w:szCs w:val="32"/>
        </w:rPr>
      </w:pPr>
    </w:p>
    <w:p w14:paraId="41E66A27">
      <w:pPr>
        <w:spacing w:line="560" w:lineRule="exact"/>
        <w:rPr>
          <w:rFonts w:hint="eastAsia" w:ascii="仿宋_GB2312" w:eastAsia="仿宋_GB2312"/>
          <w:b/>
          <w:sz w:val="32"/>
          <w:szCs w:val="32"/>
        </w:rPr>
      </w:pPr>
    </w:p>
    <w:p w14:paraId="70BDAFEB">
      <w:pPr>
        <w:spacing w:line="560" w:lineRule="exact"/>
        <w:rPr>
          <w:rFonts w:hint="eastAsia" w:ascii="仿宋_GB2312" w:eastAsia="仿宋_GB2312"/>
          <w:b/>
          <w:sz w:val="32"/>
          <w:szCs w:val="32"/>
        </w:rPr>
      </w:pPr>
    </w:p>
    <w:p w14:paraId="06FB1BE1">
      <w:pPr>
        <w:spacing w:line="560" w:lineRule="exact"/>
        <w:rPr>
          <w:rFonts w:hint="eastAsia" w:ascii="仿宋_GB2312" w:eastAsia="仿宋_GB2312"/>
          <w:b/>
          <w:sz w:val="32"/>
          <w:szCs w:val="32"/>
        </w:rPr>
      </w:pPr>
    </w:p>
    <w:p w14:paraId="7C633073">
      <w:pPr>
        <w:spacing w:line="560" w:lineRule="exact"/>
        <w:rPr>
          <w:rFonts w:hint="eastAsia" w:ascii="仿宋_GB2312" w:eastAsia="仿宋_GB2312"/>
          <w:b/>
          <w:sz w:val="32"/>
          <w:szCs w:val="32"/>
        </w:rPr>
      </w:pPr>
    </w:p>
    <w:tbl>
      <w:tblPr>
        <w:tblStyle w:val="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686"/>
        <w:gridCol w:w="2986"/>
        <w:gridCol w:w="3337"/>
        <w:gridCol w:w="2870"/>
      </w:tblGrid>
      <w:tr w14:paraId="165C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vAlign w:val="center"/>
          </w:tcPr>
          <w:p w14:paraId="45E243E7">
            <w:pPr>
              <w:jc w:val="right"/>
              <w:rPr>
                <w:rFonts w:ascii="宋体" w:hAnsi="宋体" w:cs="宋体"/>
                <w:color w:val="000000"/>
                <w:kern w:val="0"/>
                <w:sz w:val="20"/>
                <w:szCs w:val="20"/>
              </w:rPr>
            </w:pPr>
            <w:r>
              <w:rPr>
                <w:rFonts w:hint="eastAsia" w:ascii="宋体" w:hAnsi="宋体" w:cs="宋体"/>
                <w:color w:val="000000"/>
                <w:kern w:val="0"/>
                <w:sz w:val="20"/>
                <w:szCs w:val="20"/>
              </w:rPr>
              <w:t>表5</w:t>
            </w:r>
          </w:p>
        </w:tc>
      </w:tr>
      <w:tr w14:paraId="797C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tcPr>
          <w:p w14:paraId="0EFEE19B">
            <w:pPr>
              <w:jc w:val="center"/>
              <w:rPr>
                <w:rFonts w:ascii="宋体" w:hAnsi="宋体" w:cs="宋体"/>
                <w:b/>
                <w:color w:val="000000"/>
                <w:kern w:val="0"/>
                <w:sz w:val="32"/>
                <w:szCs w:val="32"/>
              </w:rPr>
            </w:pPr>
            <w:r>
              <w:rPr>
                <w:rFonts w:hint="eastAsia" w:ascii="宋体" w:hAnsi="宋体" w:cs="宋体"/>
                <w:b/>
                <w:color w:val="000000"/>
                <w:kern w:val="0"/>
                <w:sz w:val="32"/>
                <w:szCs w:val="32"/>
              </w:rPr>
              <w:t>一般公共预算财政拨款支出决算表</w:t>
            </w:r>
          </w:p>
        </w:tc>
      </w:tr>
      <w:tr w14:paraId="4C19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03" w:type="dxa"/>
            <w:gridSpan w:val="4"/>
            <w:tcBorders>
              <w:top w:val="nil"/>
              <w:left w:val="nil"/>
              <w:bottom w:val="single" w:color="auto" w:sz="4" w:space="0"/>
              <w:right w:val="nil"/>
            </w:tcBorders>
            <w:shd w:val="clear" w:color="auto" w:fill="FFFFFF"/>
            <w:vAlign w:val="center"/>
          </w:tcPr>
          <w:p w14:paraId="73CDD4FF">
            <w:pPr>
              <w:spacing w:line="288" w:lineRule="auto"/>
              <w:jc w:val="left"/>
              <w:rPr>
                <w:rFonts w:ascii="宋体" w:hAnsi="宋体" w:cs="宋体"/>
                <w:color w:val="000000"/>
                <w:sz w:val="28"/>
                <w:szCs w:val="28"/>
              </w:rPr>
            </w:pPr>
            <w:r>
              <w:rPr>
                <w:rFonts w:hint="eastAsia" w:ascii="宋体" w:hAnsi="宋体" w:cs="宋体"/>
                <w:color w:val="000000"/>
                <w:kern w:val="0"/>
                <w:sz w:val="20"/>
                <w:szCs w:val="20"/>
              </w:rPr>
              <w:t>部门：</w:t>
            </w:r>
            <w:bookmarkStart w:id="7" w:name="PO_part2Table1DivName5"/>
            <w:r>
              <w:rPr>
                <w:rFonts w:hint="eastAsia" w:ascii="宋体" w:hAnsi="宋体" w:cs="宋体"/>
                <w:color w:val="000000"/>
                <w:kern w:val="0"/>
                <w:sz w:val="20"/>
                <w:szCs w:val="20"/>
              </w:rPr>
              <w:t xml:space="preserve"> </w:t>
            </w:r>
            <w:bookmarkEnd w:id="7"/>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2870" w:type="dxa"/>
            <w:tcBorders>
              <w:top w:val="nil"/>
              <w:left w:val="nil"/>
              <w:bottom w:val="single" w:color="auto" w:sz="4" w:space="0"/>
              <w:right w:val="nil"/>
            </w:tcBorders>
            <w:shd w:val="clear" w:color="auto" w:fill="FFFFFF"/>
            <w:vAlign w:val="center"/>
          </w:tcPr>
          <w:p w14:paraId="79BA7639">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630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tcBorders>
              <w:top w:val="single" w:color="auto" w:sz="4" w:space="0"/>
            </w:tcBorders>
            <w:vAlign w:val="center"/>
          </w:tcPr>
          <w:p w14:paraId="1804DDC6">
            <w:pPr>
              <w:jc w:val="center"/>
              <w:rPr>
                <w:rFonts w:ascii="宋体" w:hAnsi="宋体" w:cs="宋体"/>
                <w:color w:val="000000"/>
                <w:szCs w:val="21"/>
              </w:rPr>
            </w:pPr>
            <w:r>
              <w:rPr>
                <w:rFonts w:hint="eastAsia" w:ascii="宋体" w:hAnsi="宋体" w:cs="宋体"/>
                <w:color w:val="000000"/>
                <w:kern w:val="0"/>
                <w:szCs w:val="21"/>
              </w:rPr>
              <w:t>项    目</w:t>
            </w:r>
          </w:p>
        </w:tc>
        <w:tc>
          <w:tcPr>
            <w:tcW w:w="2986" w:type="dxa"/>
            <w:vMerge w:val="restart"/>
            <w:tcBorders>
              <w:top w:val="single" w:color="auto" w:sz="4" w:space="0"/>
            </w:tcBorders>
            <w:vAlign w:val="center"/>
          </w:tcPr>
          <w:p w14:paraId="6C068C21">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337" w:type="dxa"/>
            <w:vMerge w:val="restart"/>
            <w:tcBorders>
              <w:top w:val="single" w:color="auto" w:sz="4" w:space="0"/>
            </w:tcBorders>
            <w:vAlign w:val="center"/>
          </w:tcPr>
          <w:p w14:paraId="2D4A7CDB">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2870" w:type="dxa"/>
            <w:vMerge w:val="restart"/>
            <w:tcBorders>
              <w:top w:val="single" w:color="auto" w:sz="4" w:space="0"/>
            </w:tcBorders>
            <w:vAlign w:val="center"/>
          </w:tcPr>
          <w:p w14:paraId="7DCDD5F7">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r>
      <w:tr w14:paraId="469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vAlign w:val="center"/>
          </w:tcPr>
          <w:p w14:paraId="7CBF5D4D">
            <w:pPr>
              <w:jc w:val="center"/>
              <w:rPr>
                <w:rFonts w:ascii="宋体" w:hAnsi="宋体" w:cs="宋体"/>
                <w:color w:val="000000"/>
                <w:szCs w:val="21"/>
              </w:rPr>
            </w:pPr>
            <w:r>
              <w:rPr>
                <w:rFonts w:hint="eastAsia" w:ascii="宋体" w:hAnsi="宋体" w:cs="宋体"/>
                <w:color w:val="000000"/>
                <w:kern w:val="0"/>
                <w:szCs w:val="21"/>
              </w:rPr>
              <w:t>科目编码</w:t>
            </w:r>
          </w:p>
        </w:tc>
        <w:tc>
          <w:tcPr>
            <w:tcW w:w="3686" w:type="dxa"/>
            <w:vAlign w:val="center"/>
          </w:tcPr>
          <w:p w14:paraId="0D917D96">
            <w:pPr>
              <w:jc w:val="center"/>
              <w:rPr>
                <w:rFonts w:ascii="宋体" w:hAnsi="宋体" w:cs="宋体"/>
                <w:color w:val="000000"/>
                <w:szCs w:val="21"/>
              </w:rPr>
            </w:pPr>
            <w:r>
              <w:rPr>
                <w:rFonts w:hint="eastAsia" w:ascii="宋体" w:hAnsi="宋体" w:cs="宋体"/>
                <w:color w:val="000000"/>
                <w:kern w:val="0"/>
                <w:szCs w:val="21"/>
              </w:rPr>
              <w:t>科目名称</w:t>
            </w:r>
          </w:p>
        </w:tc>
        <w:tc>
          <w:tcPr>
            <w:tcW w:w="2986" w:type="dxa"/>
            <w:vMerge w:val="continue"/>
          </w:tcPr>
          <w:p w14:paraId="6DF0B992">
            <w:pPr>
              <w:spacing w:line="288" w:lineRule="auto"/>
              <w:rPr>
                <w:rFonts w:ascii="宋体" w:hAnsi="宋体" w:cs="宋体"/>
                <w:color w:val="000000"/>
                <w:szCs w:val="21"/>
              </w:rPr>
            </w:pPr>
          </w:p>
        </w:tc>
        <w:tc>
          <w:tcPr>
            <w:tcW w:w="3337" w:type="dxa"/>
            <w:vMerge w:val="continue"/>
          </w:tcPr>
          <w:p w14:paraId="09603A22">
            <w:pPr>
              <w:spacing w:line="288" w:lineRule="auto"/>
              <w:rPr>
                <w:rFonts w:ascii="宋体" w:hAnsi="宋体" w:cs="宋体"/>
                <w:color w:val="000000"/>
                <w:szCs w:val="21"/>
              </w:rPr>
            </w:pPr>
          </w:p>
        </w:tc>
        <w:tc>
          <w:tcPr>
            <w:tcW w:w="2870" w:type="dxa"/>
            <w:vMerge w:val="continue"/>
          </w:tcPr>
          <w:p w14:paraId="0CE91FEF">
            <w:pPr>
              <w:spacing w:line="288" w:lineRule="auto"/>
              <w:rPr>
                <w:rFonts w:ascii="宋体" w:hAnsi="宋体" w:cs="宋体"/>
                <w:color w:val="000000"/>
                <w:szCs w:val="21"/>
              </w:rPr>
            </w:pPr>
          </w:p>
        </w:tc>
      </w:tr>
      <w:tr w14:paraId="173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vAlign w:val="center"/>
          </w:tcPr>
          <w:p w14:paraId="18D34F98">
            <w:pPr>
              <w:jc w:val="center"/>
              <w:rPr>
                <w:rFonts w:ascii="宋体" w:hAnsi="宋体" w:cs="宋体"/>
                <w:color w:val="000000"/>
                <w:szCs w:val="21"/>
              </w:rPr>
            </w:pPr>
            <w:r>
              <w:rPr>
                <w:rFonts w:hint="eastAsia" w:ascii="宋体" w:hAnsi="宋体" w:cs="宋体"/>
                <w:color w:val="000000"/>
                <w:kern w:val="0"/>
                <w:szCs w:val="21"/>
              </w:rPr>
              <w:t>栏次</w:t>
            </w:r>
          </w:p>
        </w:tc>
        <w:tc>
          <w:tcPr>
            <w:tcW w:w="2986" w:type="dxa"/>
            <w:vAlign w:val="center"/>
          </w:tcPr>
          <w:p w14:paraId="711CB30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337" w:type="dxa"/>
            <w:vAlign w:val="center"/>
          </w:tcPr>
          <w:p w14:paraId="4D835A6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870" w:type="dxa"/>
            <w:vAlign w:val="center"/>
          </w:tcPr>
          <w:p w14:paraId="760B15B9">
            <w:pPr>
              <w:widowControl/>
              <w:jc w:val="center"/>
              <w:rPr>
                <w:rFonts w:ascii="宋体" w:hAnsi="宋体" w:cs="宋体"/>
                <w:color w:val="000000"/>
                <w:kern w:val="0"/>
                <w:szCs w:val="21"/>
              </w:rPr>
            </w:pPr>
            <w:r>
              <w:rPr>
                <w:rFonts w:hint="eastAsia" w:ascii="宋体" w:hAnsi="宋体" w:cs="宋体"/>
                <w:color w:val="000000"/>
                <w:kern w:val="0"/>
                <w:szCs w:val="21"/>
              </w:rPr>
              <w:t>3</w:t>
            </w:r>
          </w:p>
        </w:tc>
      </w:tr>
      <w:tr w14:paraId="4B65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tcPr>
          <w:p w14:paraId="1C913510">
            <w:pPr>
              <w:jc w:val="center"/>
              <w:rPr>
                <w:rFonts w:ascii="宋体" w:hAnsi="宋体" w:cs="宋体"/>
                <w:color w:val="000000"/>
                <w:szCs w:val="21"/>
              </w:rPr>
            </w:pPr>
          </w:p>
        </w:tc>
        <w:tc>
          <w:tcPr>
            <w:tcW w:w="3686" w:type="dxa"/>
            <w:vAlign w:val="center"/>
          </w:tcPr>
          <w:p w14:paraId="29D58A0C">
            <w:pPr>
              <w:jc w:val="center"/>
              <w:rPr>
                <w:rFonts w:ascii="宋体" w:hAnsi="宋体" w:cs="宋体"/>
                <w:color w:val="000000"/>
                <w:szCs w:val="21"/>
              </w:rPr>
            </w:pPr>
            <w:r>
              <w:rPr>
                <w:rFonts w:hint="eastAsia" w:ascii="宋体" w:hAnsi="宋体" w:cs="宋体"/>
                <w:color w:val="000000"/>
                <w:szCs w:val="21"/>
              </w:rPr>
              <w:t>合计</w:t>
            </w:r>
          </w:p>
        </w:tc>
        <w:tc>
          <w:tcPr>
            <w:tcW w:w="2986" w:type="dxa"/>
            <w:vAlign w:val="center"/>
          </w:tcPr>
          <w:p w14:paraId="28FCF15A">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161.18</w:t>
            </w:r>
          </w:p>
        </w:tc>
        <w:tc>
          <w:tcPr>
            <w:tcW w:w="3337" w:type="dxa"/>
            <w:vAlign w:val="center"/>
          </w:tcPr>
          <w:p w14:paraId="5BFE7F93">
            <w:pPr>
              <w:widowControl/>
              <w:jc w:val="right"/>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Cs w:val="21"/>
                <w:lang w:val="en-US"/>
              </w:rPr>
              <w:t>161.18</w:t>
            </w:r>
          </w:p>
        </w:tc>
        <w:tc>
          <w:tcPr>
            <w:tcW w:w="2870" w:type="dxa"/>
            <w:vAlign w:val="center"/>
          </w:tcPr>
          <w:p w14:paraId="087F9A10">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2010350</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事业运行</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114.07</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114.07</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2080505</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20.02</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20.02</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2080506</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10.01</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10.01</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2101102</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4.97</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4.97</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2210201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12.11</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12.11</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DB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3D146C3A">
            <w:pPr>
              <w:widowControl/>
              <w:rPr>
                <w:rFonts w:hint="eastAsia" w:ascii="宋体" w:hAnsi="宋体" w:cs="宋体"/>
                <w:color w:val="000000"/>
                <w:kern w:val="0"/>
                <w:szCs w:val="21"/>
              </w:rPr>
            </w:pPr>
            <w:bookmarkStart w:id="8" w:name="PO_part2Table6"/>
          </w:p>
        </w:tc>
        <w:tc>
          <w:tcPr>
            <w:tcW w:w="3686" w:type="dxa"/>
            <w:vAlign w:val="center"/>
          </w:tcPr>
          <w:p w14:paraId="362D76FD">
            <w:pPr>
              <w:widowControl/>
              <w:jc w:val="left"/>
              <w:rPr>
                <w:rFonts w:hint="eastAsia" w:ascii="宋体" w:hAnsi="宋体" w:cs="宋体"/>
                <w:color w:val="000000"/>
                <w:kern w:val="0"/>
                <w:szCs w:val="21"/>
              </w:rPr>
            </w:pPr>
          </w:p>
        </w:tc>
        <w:tc>
          <w:tcPr>
            <w:tcW w:w="2986" w:type="dxa"/>
            <w:vAlign w:val="center"/>
          </w:tcPr>
          <w:p w14:paraId="47142E23">
            <w:pPr>
              <w:widowControl/>
              <w:jc w:val="right"/>
              <w:rPr>
                <w:rFonts w:ascii="宋体" w:hAnsi="宋体" w:cs="宋体"/>
                <w:color w:val="000000"/>
                <w:kern w:val="0"/>
                <w:szCs w:val="21"/>
              </w:rPr>
            </w:pPr>
          </w:p>
        </w:tc>
        <w:tc>
          <w:tcPr>
            <w:tcW w:w="3337" w:type="dxa"/>
            <w:vAlign w:val="center"/>
          </w:tcPr>
          <w:p w14:paraId="3876D6E0">
            <w:pPr>
              <w:widowControl/>
              <w:jc w:val="right"/>
              <w:rPr>
                <w:rFonts w:ascii="宋体" w:hAnsi="宋体" w:cs="宋体"/>
                <w:color w:val="000000"/>
                <w:kern w:val="0"/>
                <w:szCs w:val="21"/>
              </w:rPr>
            </w:pPr>
          </w:p>
        </w:tc>
        <w:tc>
          <w:tcPr>
            <w:tcW w:w="2870" w:type="dxa"/>
            <w:vAlign w:val="center"/>
          </w:tcPr>
          <w:p w14:paraId="5988B381">
            <w:pPr>
              <w:widowControl/>
              <w:jc w:val="right"/>
              <w:rPr>
                <w:rFonts w:ascii="宋体" w:hAnsi="宋体" w:cs="宋体"/>
                <w:color w:val="000000"/>
                <w:kern w:val="0"/>
                <w:szCs w:val="21"/>
              </w:rPr>
            </w:pPr>
          </w:p>
        </w:tc>
      </w:tr>
    </w:tbl>
    <w:p w14:paraId="155B8F35">
      <w:pPr>
        <w:jc w:val="left"/>
        <w:rPr>
          <w:rFonts w:hint="eastAsia"/>
          <w:color w:val="000000"/>
        </w:rPr>
      </w:pPr>
    </w:p>
    <w:p w14:paraId="0DF3EBFA">
      <w:pPr>
        <w:jc w:val="left"/>
        <w:rPr>
          <w:rFonts w:hint="eastAsia"/>
          <w:color w:val="000000"/>
        </w:rPr>
      </w:pPr>
      <w:r>
        <w:rPr>
          <w:rFonts w:hint="eastAsia"/>
          <w:color w:val="000000"/>
        </w:rPr>
        <w:t>注：</w:t>
      </w:r>
      <w:bookmarkStart w:id="9" w:name="PO_part2Table1Remark5"/>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年度一般公共预算财政拨款支出情况。 </w:t>
      </w:r>
      <w:bookmarkEnd w:id="9"/>
    </w:p>
    <w:p w14:paraId="7F590399">
      <w:pPr>
        <w:jc w:val="left"/>
        <w:rPr>
          <w:rFonts w:hint="eastAsia"/>
          <w:color w:val="000000"/>
        </w:rPr>
      </w:pPr>
    </w:p>
    <w:p w14:paraId="24FC6854">
      <w:pPr>
        <w:jc w:val="left"/>
        <w:rPr>
          <w:rFonts w:hint="eastAsia"/>
          <w:color w:val="000000"/>
        </w:rPr>
      </w:pPr>
    </w:p>
    <w:p w14:paraId="5731E5BA">
      <w:pPr>
        <w:keepNext w:val="0"/>
        <w:keepLines w:val="0"/>
        <w:pageBreakBefore/>
        <w:widowControl/>
        <w:kinsoku/>
        <w:wordWrap/>
        <w:overflowPunct/>
        <w:topLinePunct w:val="0"/>
        <w:autoSpaceDE/>
        <w:autoSpaceDN/>
        <w:bidi w:val="0"/>
        <w:adjustRightInd/>
        <w:snapToGrid/>
        <w:jc w:val="left"/>
        <w:textAlignment w:val="auto"/>
        <w:rPr>
          <w:rFonts w:hint="eastAsia"/>
          <w:color w:val="000000"/>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97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center"/>
          </w:tcPr>
          <w:p w14:paraId="7840C009">
            <w:pPr>
              <w:jc w:val="right"/>
              <w:rPr>
                <w:rFonts w:ascii="宋体" w:hAnsi="宋体" w:cs="宋体"/>
                <w:color w:val="000000"/>
              </w:rPr>
            </w:pPr>
            <w:r>
              <w:rPr>
                <w:rFonts w:hint="eastAsia" w:ascii="宋体" w:hAnsi="宋体" w:cs="宋体"/>
                <w:color w:val="000000"/>
                <w:kern w:val="0"/>
                <w:sz w:val="20"/>
                <w:szCs w:val="20"/>
              </w:rPr>
              <w:t>表6</w:t>
            </w:r>
          </w:p>
        </w:tc>
      </w:tr>
      <w:tr w14:paraId="20AA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4174" w:type="dxa"/>
            <w:gridSpan w:val="6"/>
            <w:tcBorders>
              <w:top w:val="nil"/>
              <w:left w:val="nil"/>
              <w:bottom w:val="nil"/>
              <w:right w:val="nil"/>
            </w:tcBorders>
          </w:tcPr>
          <w:p w14:paraId="235391DE">
            <w:pPr>
              <w:jc w:val="center"/>
              <w:rPr>
                <w:rFonts w:ascii="宋体" w:hAnsi="宋体" w:cs="宋体"/>
                <w:b/>
                <w:color w:val="000000"/>
                <w:szCs w:val="21"/>
              </w:rPr>
            </w:pPr>
            <w:r>
              <w:rPr>
                <w:rFonts w:hint="eastAsia" w:ascii="宋体" w:hAnsi="宋体" w:cs="宋体"/>
                <w:b/>
                <w:color w:val="000000"/>
                <w:kern w:val="0"/>
                <w:sz w:val="32"/>
                <w:szCs w:val="32"/>
              </w:rPr>
              <w:t>一般公共预算财政拨款基本支出决算明细表</w:t>
            </w:r>
          </w:p>
        </w:tc>
      </w:tr>
      <w:tr w14:paraId="6BF0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center"/>
          </w:tcPr>
          <w:p w14:paraId="66F1EEED">
            <w:pPr>
              <w:jc w:val="left"/>
              <w:rPr>
                <w:rFonts w:ascii="宋体" w:hAnsi="宋体" w:cs="宋体"/>
                <w:color w:val="000000"/>
                <w:sz w:val="20"/>
                <w:szCs w:val="20"/>
              </w:rPr>
            </w:pPr>
            <w:r>
              <w:rPr>
                <w:rFonts w:hint="eastAsia" w:ascii="宋体" w:hAnsi="宋体" w:cs="宋体"/>
                <w:color w:val="000000"/>
                <w:kern w:val="0"/>
                <w:sz w:val="20"/>
                <w:szCs w:val="20"/>
              </w:rPr>
              <w:t>部门：</w:t>
            </w:r>
            <w:bookmarkStart w:id="10" w:name="PO_part2Table1DivName6"/>
            <w:r>
              <w:rPr>
                <w:rFonts w:hint="eastAsia" w:ascii="宋体" w:hAnsi="宋体" w:cs="宋体"/>
                <w:color w:val="000000"/>
                <w:kern w:val="0"/>
                <w:sz w:val="20"/>
                <w:szCs w:val="20"/>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0"/>
          </w:p>
        </w:tc>
        <w:tc>
          <w:tcPr>
            <w:tcW w:w="2199" w:type="dxa"/>
            <w:tcBorders>
              <w:top w:val="nil"/>
              <w:left w:val="nil"/>
              <w:bottom w:val="single" w:color="auto" w:sz="4" w:space="0"/>
              <w:right w:val="nil"/>
            </w:tcBorders>
            <w:vAlign w:val="center"/>
          </w:tcPr>
          <w:p w14:paraId="07E3F94E">
            <w:pPr>
              <w:jc w:val="right"/>
              <w:rPr>
                <w:rFonts w:ascii="宋体" w:hAnsi="宋体" w:cs="宋体"/>
                <w:color w:val="00000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7B4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center"/>
          </w:tcPr>
          <w:p w14:paraId="65BA4B28">
            <w:pPr>
              <w:jc w:val="center"/>
              <w:rPr>
                <w:rFonts w:ascii="宋体" w:hAnsi="宋体" w:cs="宋体"/>
                <w:color w:val="000000"/>
                <w:szCs w:val="21"/>
              </w:rPr>
            </w:pPr>
            <w:r>
              <w:rPr>
                <w:rFonts w:hint="eastAsia" w:ascii="宋体" w:hAnsi="宋体" w:cs="宋体"/>
                <w:color w:val="000000"/>
                <w:kern w:val="0"/>
                <w:szCs w:val="21"/>
              </w:rPr>
              <w:t>人员经费</w:t>
            </w:r>
          </w:p>
        </w:tc>
        <w:tc>
          <w:tcPr>
            <w:tcW w:w="7084" w:type="dxa"/>
            <w:gridSpan w:val="3"/>
            <w:tcBorders>
              <w:top w:val="single" w:color="auto" w:sz="4" w:space="0"/>
            </w:tcBorders>
            <w:vAlign w:val="center"/>
          </w:tcPr>
          <w:p w14:paraId="3A6182D3">
            <w:pPr>
              <w:jc w:val="center"/>
              <w:rPr>
                <w:rFonts w:ascii="宋体" w:hAnsi="宋体" w:cs="宋体"/>
                <w:color w:val="000000"/>
                <w:szCs w:val="21"/>
              </w:rPr>
            </w:pPr>
            <w:r>
              <w:rPr>
                <w:rFonts w:hint="eastAsia" w:ascii="宋体" w:hAnsi="宋体" w:cs="宋体"/>
                <w:color w:val="000000"/>
                <w:kern w:val="0"/>
                <w:szCs w:val="21"/>
              </w:rPr>
              <w:t>公用经费</w:t>
            </w:r>
          </w:p>
        </w:tc>
      </w:tr>
      <w:tr w14:paraId="69B4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14:paraId="58B03FFD">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7C305F9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675" w:type="dxa"/>
            <w:vAlign w:val="center"/>
          </w:tcPr>
          <w:p w14:paraId="71D0FBA1">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045" w:type="dxa"/>
            <w:vAlign w:val="center"/>
          </w:tcPr>
          <w:p w14:paraId="56EDD451">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1417" w:type="dxa"/>
            <w:vAlign w:val="center"/>
          </w:tcPr>
          <w:p w14:paraId="4A3E6835">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0291F05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468" w:type="dxa"/>
            <w:vAlign w:val="center"/>
          </w:tcPr>
          <w:p w14:paraId="1DB924A3">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199" w:type="dxa"/>
            <w:vAlign w:val="center"/>
          </w:tcPr>
          <w:p w14:paraId="5BC745B3">
            <w:pPr>
              <w:widowControl/>
              <w:jc w:val="center"/>
              <w:rPr>
                <w:rFonts w:ascii="宋体" w:hAnsi="宋体" w:cs="宋体"/>
                <w:color w:val="000000"/>
                <w:kern w:val="0"/>
                <w:szCs w:val="21"/>
              </w:rPr>
            </w:pPr>
            <w:r>
              <w:rPr>
                <w:rFonts w:hint="eastAsia" w:ascii="宋体" w:hAnsi="宋体" w:cs="宋体"/>
                <w:color w:val="000000"/>
                <w:kern w:val="0"/>
                <w:szCs w:val="21"/>
              </w:rPr>
              <w:t>金额</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150.58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10.60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36.52</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4.40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4.76</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12.89</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30106</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30107</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48.68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30108</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20.02</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10.01</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30110</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4.84</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0.75</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1.50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12.11</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30114</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30199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30304</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30305</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30306</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30307</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30308</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0.74</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30310</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30399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3.96</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国内债务发行费用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国外债务发行费用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30913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30919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30921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30922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对企业补助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31101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资本金注入</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政府投资基金股权投资</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费用补贴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利息补贴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其他资本性补助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31199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其他对企业补助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经常性赠与</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资本性赠与</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人员经费合计</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150.58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公用经费合计</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10.60</w:t>
            </w:r>
          </w:p>
        </w:tc>
      </w:tr>
      <w:tr w14:paraId="63D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3E6A0C">
            <w:pPr>
              <w:jc w:val="left"/>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14:paraId="1DBD97A1">
            <w:pPr>
              <w:widowControl/>
              <w:jc w:val="left"/>
              <w:rPr>
                <w:rFonts w:hint="eastAsia" w:ascii="宋体" w:hAnsi="宋体" w:cs="宋体"/>
                <w:color w:val="000000"/>
                <w:kern w:val="0"/>
                <w:szCs w:val="21"/>
              </w:rPr>
            </w:pPr>
          </w:p>
        </w:tc>
        <w:tc>
          <w:tcPr>
            <w:tcW w:w="2045" w:type="dxa"/>
            <w:tcBorders>
              <w:top w:val="single" w:color="auto" w:sz="4" w:space="0"/>
              <w:left w:val="nil"/>
              <w:bottom w:val="single" w:color="auto" w:sz="4" w:space="0"/>
              <w:right w:val="single" w:color="auto" w:sz="4" w:space="0"/>
            </w:tcBorders>
            <w:vAlign w:val="center"/>
          </w:tcPr>
          <w:p w14:paraId="4EFEAFD9">
            <w:pPr>
              <w:widowControl/>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BB57677">
            <w:pPr>
              <w:widowControl/>
              <w:jc w:val="left"/>
              <w:rPr>
                <w:rFonts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14:paraId="4673683B">
            <w:pPr>
              <w:widowControl/>
              <w:jc w:val="left"/>
              <w:rPr>
                <w:rFonts w:hint="eastAsia" w:ascii="宋体" w:hAnsi="宋体" w:cs="宋体"/>
                <w:color w:val="000000"/>
                <w:kern w:val="0"/>
                <w:szCs w:val="21"/>
              </w:rPr>
            </w:pPr>
          </w:p>
        </w:tc>
        <w:tc>
          <w:tcPr>
            <w:tcW w:w="2199" w:type="dxa"/>
            <w:tcBorders>
              <w:top w:val="single" w:color="auto" w:sz="4" w:space="0"/>
              <w:left w:val="nil"/>
              <w:bottom w:val="single" w:color="auto" w:sz="4" w:space="0"/>
              <w:right w:val="single" w:color="auto" w:sz="4" w:space="0"/>
            </w:tcBorders>
            <w:vAlign w:val="center"/>
          </w:tcPr>
          <w:p w14:paraId="17F2D2A2">
            <w:pPr>
              <w:widowControl/>
              <w:jc w:val="right"/>
              <w:rPr>
                <w:rFonts w:hint="eastAsia" w:ascii="宋体" w:hAnsi="宋体" w:cs="宋体"/>
                <w:color w:val="000000"/>
                <w:kern w:val="0"/>
                <w:szCs w:val="21"/>
              </w:rPr>
            </w:pPr>
          </w:p>
        </w:tc>
      </w:tr>
    </w:tbl>
    <w:p w14:paraId="72D0FBF1">
      <w:pPr>
        <w:rPr>
          <w:rFonts w:hint="eastAsia"/>
          <w:color w:val="000000"/>
        </w:rPr>
      </w:pPr>
    </w:p>
    <w:p w14:paraId="00A22136">
      <w:pPr>
        <w:rPr>
          <w:rFonts w:hint="eastAsia"/>
          <w:color w:val="000000"/>
        </w:rPr>
      </w:pPr>
      <w:r>
        <w:rPr>
          <w:rFonts w:hint="eastAsia"/>
          <w:color w:val="000000"/>
        </w:rPr>
        <w:t>注：</w:t>
      </w:r>
      <w:bookmarkStart w:id="11" w:name="PO_part2Table1Remark6"/>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年度一般公共预算财政拨款基本支出明细情况。 </w:t>
      </w:r>
      <w:bookmarkEnd w:id="8"/>
      <w:bookmarkEnd w:id="11"/>
      <w:bookmarkStart w:id="12" w:name="PO_part2Table7"/>
    </w:p>
    <w:bookmarkEnd w:id="12"/>
    <w:p w14:paraId="111D3C45">
      <w:pPr>
        <w:keepNext w:val="0"/>
        <w:keepLines w:val="0"/>
        <w:pageBreakBefore/>
        <w:widowControl/>
        <w:kinsoku/>
        <w:wordWrap/>
        <w:overflowPunct/>
        <w:topLinePunct w:val="0"/>
        <w:autoSpaceDE/>
        <w:autoSpaceDN/>
        <w:bidi w:val="0"/>
        <w:adjustRightInd/>
        <w:snapToGrid/>
        <w:textAlignment w:val="auto"/>
        <w:rPr>
          <w:color w:val="000000"/>
        </w:rPr>
      </w:pPr>
      <w:bookmarkStart w:id="13" w:name="PO_part2Table8"/>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55"/>
        <w:gridCol w:w="1740"/>
        <w:gridCol w:w="1666"/>
        <w:gridCol w:w="1772"/>
        <w:gridCol w:w="1772"/>
        <w:gridCol w:w="1772"/>
        <w:gridCol w:w="1772"/>
      </w:tblGrid>
      <w:tr w14:paraId="2C05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4B01B47B">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7</w:t>
            </w:r>
          </w:p>
        </w:tc>
      </w:tr>
      <w:tr w14:paraId="1E7E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72A30AC8">
            <w:pPr>
              <w:jc w:val="center"/>
              <w:rPr>
                <w:rFonts w:ascii="宋体" w:hAnsi="宋体" w:cs="宋体"/>
                <w:color w:val="000000"/>
              </w:rPr>
            </w:pPr>
            <w:r>
              <w:rPr>
                <w:rFonts w:hint="eastAsia" w:ascii="宋体" w:hAnsi="宋体" w:cs="宋体"/>
                <w:b/>
                <w:bCs/>
                <w:color w:val="000000"/>
                <w:kern w:val="0"/>
                <w:sz w:val="32"/>
                <w:szCs w:val="32"/>
              </w:rPr>
              <w:t>政府性基金预算财政拨款收入支出决算表</w:t>
            </w:r>
          </w:p>
        </w:tc>
      </w:tr>
      <w:tr w14:paraId="1812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417117">
            <w:pPr>
              <w:jc w:val="left"/>
              <w:rPr>
                <w:rFonts w:ascii="宋体" w:hAnsi="宋体" w:cs="宋体"/>
                <w:color w:val="000000"/>
              </w:rPr>
            </w:pPr>
            <w:r>
              <w:rPr>
                <w:rFonts w:hint="eastAsia" w:ascii="宋体" w:hAnsi="宋体" w:cs="宋体"/>
                <w:color w:val="000000"/>
                <w:kern w:val="0"/>
                <w:sz w:val="20"/>
                <w:szCs w:val="20"/>
              </w:rPr>
              <w:t>部门：</w:t>
            </w:r>
            <w:bookmarkStart w:id="14" w:name="PO_part2Table1DivName8"/>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4"/>
          </w:p>
        </w:tc>
        <w:tc>
          <w:tcPr>
            <w:tcW w:w="7088" w:type="dxa"/>
            <w:gridSpan w:val="4"/>
            <w:tcBorders>
              <w:top w:val="nil"/>
              <w:left w:val="nil"/>
              <w:bottom w:val="single" w:color="auto" w:sz="4" w:space="0"/>
              <w:right w:val="nil"/>
            </w:tcBorders>
            <w:vAlign w:val="center"/>
          </w:tcPr>
          <w:p w14:paraId="30358903">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77A4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426A2484">
            <w:pPr>
              <w:jc w:val="center"/>
              <w:rPr>
                <w:rFonts w:ascii="宋体" w:hAnsi="宋体" w:cs="宋体"/>
                <w:color w:val="000000"/>
                <w:szCs w:val="21"/>
              </w:rPr>
            </w:pPr>
            <w:r>
              <w:rPr>
                <w:rFonts w:hint="eastAsia" w:ascii="宋体" w:hAnsi="宋体" w:cs="宋体"/>
                <w:color w:val="000000"/>
                <w:kern w:val="0"/>
                <w:szCs w:val="21"/>
              </w:rPr>
              <w:t>项    目</w:t>
            </w:r>
          </w:p>
        </w:tc>
        <w:tc>
          <w:tcPr>
            <w:tcW w:w="1740" w:type="dxa"/>
            <w:vMerge w:val="restart"/>
            <w:tcBorders>
              <w:top w:val="single" w:color="auto" w:sz="4" w:space="0"/>
            </w:tcBorders>
            <w:vAlign w:val="center"/>
          </w:tcPr>
          <w:p w14:paraId="46190F8D">
            <w:pPr>
              <w:widowControl/>
              <w:jc w:val="center"/>
              <w:rPr>
                <w:rFonts w:ascii="宋体" w:hAnsi="宋体" w:cs="宋体"/>
                <w:color w:val="000000"/>
                <w:kern w:val="0"/>
                <w:szCs w:val="21"/>
              </w:rPr>
            </w:pPr>
            <w:r>
              <w:rPr>
                <w:rFonts w:hint="eastAsia" w:ascii="宋体" w:hAnsi="宋体" w:cs="宋体"/>
                <w:color w:val="000000"/>
                <w:kern w:val="0"/>
                <w:szCs w:val="21"/>
              </w:rPr>
              <w:t>年初结转和结余</w:t>
            </w:r>
          </w:p>
        </w:tc>
        <w:tc>
          <w:tcPr>
            <w:tcW w:w="1666" w:type="dxa"/>
            <w:vMerge w:val="restart"/>
            <w:tcBorders>
              <w:top w:val="single" w:color="auto" w:sz="4" w:space="0"/>
            </w:tcBorders>
            <w:vAlign w:val="center"/>
          </w:tcPr>
          <w:p w14:paraId="6B21CA28">
            <w:pPr>
              <w:widowControl/>
              <w:jc w:val="center"/>
              <w:rPr>
                <w:rFonts w:ascii="宋体" w:hAnsi="宋体" w:cs="宋体"/>
                <w:color w:val="000000"/>
                <w:kern w:val="0"/>
                <w:szCs w:val="21"/>
              </w:rPr>
            </w:pPr>
            <w:r>
              <w:rPr>
                <w:rFonts w:hint="eastAsia" w:ascii="宋体" w:hAnsi="宋体" w:cs="宋体"/>
                <w:color w:val="000000"/>
                <w:kern w:val="0"/>
                <w:szCs w:val="21"/>
              </w:rPr>
              <w:t>本年收入</w:t>
            </w:r>
          </w:p>
        </w:tc>
        <w:tc>
          <w:tcPr>
            <w:tcW w:w="5316" w:type="dxa"/>
            <w:gridSpan w:val="3"/>
            <w:tcBorders>
              <w:top w:val="single" w:color="auto" w:sz="4" w:space="0"/>
            </w:tcBorders>
            <w:vAlign w:val="center"/>
          </w:tcPr>
          <w:p w14:paraId="795847DE">
            <w:pPr>
              <w:jc w:val="center"/>
              <w:rPr>
                <w:rFonts w:ascii="宋体" w:hAnsi="宋体" w:cs="宋体"/>
                <w:color w:val="000000"/>
                <w:szCs w:val="21"/>
              </w:rPr>
            </w:pPr>
            <w:r>
              <w:rPr>
                <w:rFonts w:hint="eastAsia" w:ascii="宋体" w:hAnsi="宋体" w:cs="宋体"/>
                <w:color w:val="000000"/>
                <w:kern w:val="0"/>
                <w:szCs w:val="21"/>
              </w:rPr>
              <w:t>本年支出</w:t>
            </w:r>
          </w:p>
        </w:tc>
        <w:tc>
          <w:tcPr>
            <w:tcW w:w="1772" w:type="dxa"/>
            <w:vMerge w:val="restart"/>
            <w:tcBorders>
              <w:top w:val="single" w:color="auto" w:sz="4" w:space="0"/>
            </w:tcBorders>
            <w:vAlign w:val="center"/>
          </w:tcPr>
          <w:p w14:paraId="14262F79">
            <w:pPr>
              <w:jc w:val="center"/>
              <w:rPr>
                <w:rFonts w:ascii="宋体" w:hAnsi="宋体" w:cs="宋体"/>
                <w:color w:val="000000"/>
                <w:szCs w:val="21"/>
              </w:rPr>
            </w:pPr>
            <w:r>
              <w:rPr>
                <w:rFonts w:hint="eastAsia" w:ascii="宋体" w:hAnsi="宋体" w:cs="宋体"/>
                <w:color w:val="000000"/>
                <w:kern w:val="0"/>
                <w:szCs w:val="21"/>
              </w:rPr>
              <w:t>年末结转和结余</w:t>
            </w:r>
          </w:p>
        </w:tc>
      </w:tr>
      <w:tr w14:paraId="2BE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tcPr>
          <w:p w14:paraId="35362151">
            <w:pPr>
              <w:widowControl/>
              <w:rPr>
                <w:rFonts w:ascii="宋体" w:hAnsi="宋体" w:cs="宋体"/>
                <w:color w:val="000000"/>
                <w:kern w:val="0"/>
                <w:szCs w:val="21"/>
              </w:rPr>
            </w:pPr>
            <w:r>
              <w:rPr>
                <w:rFonts w:hint="eastAsia" w:ascii="宋体" w:hAnsi="宋体" w:cs="宋体"/>
                <w:color w:val="000000"/>
                <w:kern w:val="0"/>
                <w:szCs w:val="21"/>
              </w:rPr>
              <w:t>功能分类</w:t>
            </w:r>
          </w:p>
          <w:p w14:paraId="3FA5DFDE">
            <w:pPr>
              <w:rPr>
                <w:rFonts w:ascii="宋体" w:hAnsi="宋体" w:cs="宋体"/>
                <w:color w:val="000000"/>
                <w:szCs w:val="21"/>
              </w:rPr>
            </w:pPr>
            <w:r>
              <w:rPr>
                <w:rFonts w:hint="eastAsia" w:ascii="宋体" w:hAnsi="宋体" w:cs="宋体"/>
                <w:color w:val="000000"/>
                <w:kern w:val="0"/>
                <w:szCs w:val="21"/>
              </w:rPr>
              <w:t>科目编码</w:t>
            </w:r>
          </w:p>
        </w:tc>
        <w:tc>
          <w:tcPr>
            <w:tcW w:w="2455" w:type="dxa"/>
            <w:vAlign w:val="center"/>
          </w:tcPr>
          <w:p w14:paraId="395FE5BC">
            <w:pPr>
              <w:jc w:val="center"/>
              <w:rPr>
                <w:rFonts w:ascii="宋体" w:hAnsi="宋体" w:cs="宋体"/>
                <w:color w:val="000000"/>
                <w:szCs w:val="21"/>
              </w:rPr>
            </w:pPr>
            <w:r>
              <w:rPr>
                <w:rFonts w:hint="eastAsia" w:ascii="宋体" w:hAnsi="宋体" w:cs="宋体"/>
                <w:color w:val="000000"/>
                <w:kern w:val="0"/>
                <w:szCs w:val="21"/>
              </w:rPr>
              <w:t>科目名称</w:t>
            </w:r>
          </w:p>
        </w:tc>
        <w:tc>
          <w:tcPr>
            <w:tcW w:w="1740" w:type="dxa"/>
            <w:vMerge w:val="continue"/>
          </w:tcPr>
          <w:p w14:paraId="30EF72B9">
            <w:pPr>
              <w:rPr>
                <w:rFonts w:ascii="宋体" w:hAnsi="宋体" w:cs="宋体"/>
                <w:color w:val="000000"/>
                <w:szCs w:val="21"/>
              </w:rPr>
            </w:pPr>
          </w:p>
        </w:tc>
        <w:tc>
          <w:tcPr>
            <w:tcW w:w="1666" w:type="dxa"/>
            <w:vMerge w:val="continue"/>
          </w:tcPr>
          <w:p w14:paraId="7A693BF6">
            <w:pPr>
              <w:rPr>
                <w:rFonts w:ascii="宋体" w:hAnsi="宋体" w:cs="宋体"/>
                <w:color w:val="000000"/>
                <w:szCs w:val="21"/>
              </w:rPr>
            </w:pPr>
          </w:p>
        </w:tc>
        <w:tc>
          <w:tcPr>
            <w:tcW w:w="1772" w:type="dxa"/>
            <w:vAlign w:val="center"/>
          </w:tcPr>
          <w:p w14:paraId="4CA1FBC3">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772" w:type="dxa"/>
            <w:vAlign w:val="center"/>
          </w:tcPr>
          <w:p w14:paraId="145E453D">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Align w:val="center"/>
          </w:tcPr>
          <w:p w14:paraId="563794FF">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continue"/>
          </w:tcPr>
          <w:p w14:paraId="6960A6F0">
            <w:pPr>
              <w:rPr>
                <w:rFonts w:ascii="宋体" w:hAnsi="宋体" w:cs="宋体"/>
                <w:color w:val="000000"/>
                <w:szCs w:val="21"/>
              </w:rPr>
            </w:pPr>
          </w:p>
        </w:tc>
      </w:tr>
      <w:tr w14:paraId="0E5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2146A7BD">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1740" w:type="dxa"/>
            <w:vAlign w:val="center"/>
          </w:tcPr>
          <w:p w14:paraId="74C8E18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66" w:type="dxa"/>
            <w:vAlign w:val="center"/>
          </w:tcPr>
          <w:p w14:paraId="21A604F7">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082EEF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F42277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0C18D71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04717B87">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0229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35747B93">
            <w:pPr>
              <w:widowControl/>
              <w:jc w:val="center"/>
              <w:rPr>
                <w:rFonts w:ascii="宋体" w:hAnsi="宋体" w:cs="宋体"/>
                <w:color w:val="000000"/>
                <w:kern w:val="0"/>
                <w:szCs w:val="21"/>
              </w:rPr>
            </w:pPr>
          </w:p>
        </w:tc>
        <w:tc>
          <w:tcPr>
            <w:tcW w:w="2455" w:type="dxa"/>
            <w:vAlign w:val="center"/>
          </w:tcPr>
          <w:p w14:paraId="099BB67E">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40" w:type="dxa"/>
            <w:vAlign w:val="center"/>
          </w:tcPr>
          <w:p w14:paraId="7EA98E50">
            <w:pPr>
              <w:widowControl/>
              <w:wordWrap w:val="0"/>
              <w:jc w:val="right"/>
              <w:rPr>
                <w:rFonts w:ascii="宋体" w:hAnsi="宋体" w:cs="宋体"/>
                <w:color w:val="000000"/>
                <w:kern w:val="0"/>
                <w:szCs w:val="21"/>
              </w:rPr>
            </w:pPr>
            <w:r>
              <w:rPr>
                <w:rFonts w:hint="eastAsia" w:ascii="宋体" w:hAnsi="宋体" w:cs="宋体"/>
                <w:color w:val="000000"/>
                <w:kern w:val="0"/>
                <w:szCs w:val="21"/>
              </w:rPr>
              <w:t>0</w:t>
            </w:r>
          </w:p>
        </w:tc>
        <w:tc>
          <w:tcPr>
            <w:tcW w:w="1666" w:type="dxa"/>
            <w:vAlign w:val="center"/>
          </w:tcPr>
          <w:p w14:paraId="3DCE045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9C5D000">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D27F30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0512B9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76CDF0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4A1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5E24992E">
            <w:pPr>
              <w:widowControl/>
              <w:jc w:val="center"/>
              <w:rPr>
                <w:rFonts w:ascii="宋体" w:hAnsi="宋体" w:cs="宋体"/>
                <w:color w:val="000000"/>
                <w:kern w:val="0"/>
                <w:szCs w:val="21"/>
              </w:rPr>
            </w:pPr>
          </w:p>
        </w:tc>
        <w:tc>
          <w:tcPr>
            <w:tcW w:w="2455" w:type="dxa"/>
            <w:vAlign w:val="center"/>
          </w:tcPr>
          <w:p w14:paraId="522C179A">
            <w:pPr>
              <w:widowControl/>
              <w:jc w:val="center"/>
              <w:rPr>
                <w:rFonts w:hint="eastAsia" w:ascii="宋体" w:hAnsi="宋体" w:cs="宋体"/>
                <w:color w:val="000000"/>
                <w:kern w:val="0"/>
                <w:szCs w:val="21"/>
              </w:rPr>
            </w:pPr>
          </w:p>
        </w:tc>
        <w:tc>
          <w:tcPr>
            <w:tcW w:w="1740" w:type="dxa"/>
            <w:vAlign w:val="center"/>
          </w:tcPr>
          <w:p w14:paraId="3FBD21AF">
            <w:pPr>
              <w:widowControl/>
              <w:wordWrap w:val="0"/>
              <w:jc w:val="right"/>
              <w:rPr>
                <w:rFonts w:hint="eastAsia" w:ascii="宋体" w:hAnsi="宋体" w:cs="宋体"/>
                <w:color w:val="000000"/>
                <w:kern w:val="0"/>
                <w:szCs w:val="21"/>
              </w:rPr>
            </w:pPr>
          </w:p>
        </w:tc>
        <w:tc>
          <w:tcPr>
            <w:tcW w:w="1666" w:type="dxa"/>
            <w:vAlign w:val="center"/>
          </w:tcPr>
          <w:p w14:paraId="6D2F01B2">
            <w:pPr>
              <w:widowControl/>
              <w:jc w:val="right"/>
              <w:rPr>
                <w:rFonts w:hint="eastAsia" w:ascii="宋体" w:hAnsi="宋体" w:cs="宋体"/>
                <w:color w:val="000000"/>
                <w:kern w:val="0"/>
                <w:szCs w:val="21"/>
              </w:rPr>
            </w:pPr>
          </w:p>
        </w:tc>
        <w:tc>
          <w:tcPr>
            <w:tcW w:w="1772" w:type="dxa"/>
            <w:vAlign w:val="center"/>
          </w:tcPr>
          <w:p w14:paraId="028A4A8B">
            <w:pPr>
              <w:widowControl/>
              <w:jc w:val="right"/>
              <w:rPr>
                <w:rFonts w:hint="eastAsia" w:ascii="宋体" w:hAnsi="宋体" w:cs="宋体"/>
                <w:color w:val="000000"/>
                <w:kern w:val="0"/>
                <w:szCs w:val="21"/>
              </w:rPr>
            </w:pPr>
          </w:p>
        </w:tc>
        <w:tc>
          <w:tcPr>
            <w:tcW w:w="1772" w:type="dxa"/>
            <w:vAlign w:val="center"/>
          </w:tcPr>
          <w:p w14:paraId="44B1B711">
            <w:pPr>
              <w:widowControl/>
              <w:jc w:val="right"/>
              <w:rPr>
                <w:rFonts w:hint="eastAsia" w:ascii="宋体" w:hAnsi="宋体" w:cs="宋体"/>
                <w:color w:val="000000"/>
                <w:kern w:val="0"/>
                <w:szCs w:val="21"/>
              </w:rPr>
            </w:pPr>
          </w:p>
        </w:tc>
        <w:tc>
          <w:tcPr>
            <w:tcW w:w="1772" w:type="dxa"/>
            <w:vAlign w:val="center"/>
          </w:tcPr>
          <w:p w14:paraId="0A800B0C">
            <w:pPr>
              <w:widowControl/>
              <w:jc w:val="right"/>
              <w:rPr>
                <w:rFonts w:hint="eastAsia" w:ascii="宋体" w:hAnsi="宋体" w:cs="宋体"/>
                <w:color w:val="000000"/>
                <w:kern w:val="0"/>
                <w:szCs w:val="21"/>
              </w:rPr>
            </w:pPr>
          </w:p>
        </w:tc>
        <w:tc>
          <w:tcPr>
            <w:tcW w:w="1772" w:type="dxa"/>
            <w:vAlign w:val="center"/>
          </w:tcPr>
          <w:p w14:paraId="2A277394">
            <w:pPr>
              <w:widowControl/>
              <w:jc w:val="right"/>
              <w:rPr>
                <w:rFonts w:hint="eastAsia" w:ascii="宋体" w:hAnsi="宋体" w:cs="宋体"/>
                <w:color w:val="000000"/>
                <w:kern w:val="0"/>
                <w:szCs w:val="21"/>
              </w:rPr>
            </w:pPr>
          </w:p>
        </w:tc>
      </w:tr>
    </w:tbl>
    <w:p w14:paraId="4723ED64">
      <w:pPr>
        <w:rPr>
          <w:rFonts w:hint="eastAsia"/>
          <w:color w:val="000000"/>
        </w:rPr>
      </w:pPr>
    </w:p>
    <w:p w14:paraId="00036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w:t>
      </w:r>
      <w:bookmarkStart w:id="15" w:name="PO_part2Table1Remark8"/>
      <w:r>
        <w:rPr>
          <w:rFonts w:hint="eastAsia"/>
          <w:color w:val="000000"/>
        </w:rPr>
        <w:t xml:space="preserve"> 本表反映部门</w:t>
      </w:r>
      <w:r>
        <w:rPr>
          <w:rFonts w:hint="eastAsia"/>
          <w:color w:val="000000"/>
          <w:lang w:val="en-US" w:eastAsia="zh-CN"/>
        </w:rPr>
        <w:t>2024</w:t>
      </w:r>
      <w:r>
        <w:rPr>
          <w:rFonts w:hint="eastAsia"/>
          <w:color w:val="000000"/>
        </w:rPr>
        <w:t>年度政府性基金预算财政拨款收入支出及结转和结余情况。</w:t>
      </w:r>
    </w:p>
    <w:p w14:paraId="44B73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
      </w:r>
      <w:r>
        <w:rPr>
          <w:rFonts w:hint="eastAsia"/>
          <w:color w:val="000000"/>
        </w:rPr>
        <w:t>本部门</w:t>
      </w:r>
      <w:r>
        <w:rPr>
          <w:rFonts w:hint="eastAsia"/>
          <w:color w:val="000000"/>
          <w:lang w:val="en-US" w:eastAsia="zh-CN"/>
        </w:rPr>
        <w:t>2024</w:t>
      </w:r>
      <w:r>
        <w:rPr>
          <w:rFonts w:hint="eastAsia"/>
          <w:color w:val="000000"/>
        </w:rPr>
        <w:t xml:space="preserve">年度没有政府性基金预算财政拨款收入，也没有政府性基金预算财政拨款安排的支出，故本表无数据。 </w:t>
      </w:r>
      <w:bookmarkEnd w:id="15"/>
      <w:r>
        <w:rPr>
          <w:rFonts w:hint="eastAsia"/>
          <w:color w:val="000000"/>
        </w:rPr>
        <w:t/>
      </w:r>
      <w:r>
        <w:rPr>
          <w:rFonts w:hint="eastAsia"/>
          <w:color w:val="000000"/>
        </w:rPr>
        <w:t xml:space="preserve"> </w:t>
      </w:r>
      <w:bookmarkEnd w:id="13"/>
      <w:r>
        <w:rPr>
          <w:rFonts w:hint="eastAsia"/>
          <w:color w:val="000000"/>
        </w:rPr>
        <w:t xml:space="preserve"> </w:t>
      </w:r>
      <w:bookmarkStart w:id="16" w:name="PO_part2Table9"/>
    </w:p>
    <w:p w14:paraId="4D899705">
      <w:pPr>
        <w:rPr>
          <w:rFonts w:hint="eastAsia"/>
          <w:color w:val="000000"/>
        </w:rPr>
      </w:pPr>
    </w:p>
    <w:p w14:paraId="56CD1C83">
      <w:pPr>
        <w:keepNext w:val="0"/>
        <w:keepLines w:val="0"/>
        <w:pageBreakBefore/>
        <w:widowControl/>
        <w:kinsoku/>
        <w:wordWrap/>
        <w:overflowPunct/>
        <w:topLinePunct w:val="0"/>
        <w:autoSpaceDE/>
        <w:autoSpaceDN/>
        <w:bidi w:val="0"/>
        <w:adjustRightInd/>
        <w:snapToGrid/>
        <w:textAlignment w:val="auto"/>
        <w:rPr>
          <w:rFonts w:hint="eastAsia"/>
          <w:color w:val="000000"/>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495"/>
        <w:gridCol w:w="3263"/>
        <w:gridCol w:w="143"/>
        <w:gridCol w:w="3512"/>
        <w:gridCol w:w="3576"/>
      </w:tblGrid>
      <w:tr w14:paraId="531E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vAlign w:val="center"/>
          </w:tcPr>
          <w:p w14:paraId="445D23D8">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8</w:t>
            </w:r>
          </w:p>
        </w:tc>
      </w:tr>
      <w:tr w14:paraId="6CA8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tcPr>
          <w:p w14:paraId="17663C82">
            <w:pPr>
              <w:jc w:val="center"/>
              <w:rPr>
                <w:rFonts w:ascii="宋体" w:hAnsi="宋体" w:cs="宋体"/>
                <w:color w:val="000000"/>
              </w:rPr>
            </w:pPr>
            <w:r>
              <w:rPr>
                <w:rFonts w:hint="eastAsia" w:ascii="宋体" w:hAnsi="宋体" w:cs="宋体"/>
                <w:b/>
                <w:bCs/>
                <w:color w:val="000000"/>
                <w:kern w:val="0"/>
                <w:sz w:val="32"/>
                <w:szCs w:val="32"/>
              </w:rPr>
              <w:t>国有资本经营预算财政拨款支出决算表</w:t>
            </w:r>
          </w:p>
        </w:tc>
      </w:tr>
      <w:tr w14:paraId="4E3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C67E22">
            <w:pPr>
              <w:jc w:val="left"/>
              <w:rPr>
                <w:rFonts w:ascii="宋体" w:hAnsi="宋体" w:cs="宋体"/>
                <w:color w:val="000000"/>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p>
        </w:tc>
        <w:tc>
          <w:tcPr>
            <w:tcW w:w="7088" w:type="dxa"/>
            <w:gridSpan w:val="2"/>
            <w:tcBorders>
              <w:top w:val="nil"/>
              <w:left w:val="nil"/>
              <w:bottom w:val="single" w:color="auto" w:sz="4" w:space="0"/>
              <w:right w:val="nil"/>
            </w:tcBorders>
            <w:vAlign w:val="center"/>
          </w:tcPr>
          <w:p w14:paraId="15DD933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52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6E93AB03">
            <w:pPr>
              <w:jc w:val="center"/>
              <w:rPr>
                <w:rFonts w:ascii="宋体" w:hAnsi="宋体" w:cs="宋体"/>
                <w:color w:val="000000"/>
                <w:szCs w:val="21"/>
              </w:rPr>
            </w:pPr>
            <w:r>
              <w:rPr>
                <w:rFonts w:hint="eastAsia" w:ascii="宋体" w:hAnsi="宋体" w:cs="宋体"/>
                <w:color w:val="000000"/>
                <w:kern w:val="0"/>
                <w:szCs w:val="21"/>
              </w:rPr>
              <w:t>项    目</w:t>
            </w:r>
          </w:p>
        </w:tc>
        <w:tc>
          <w:tcPr>
            <w:tcW w:w="10494" w:type="dxa"/>
            <w:gridSpan w:val="4"/>
            <w:tcBorders>
              <w:top w:val="single" w:color="auto" w:sz="4" w:space="0"/>
            </w:tcBorders>
            <w:vAlign w:val="center"/>
          </w:tcPr>
          <w:p w14:paraId="349A9E96">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本年支出</w:t>
            </w:r>
          </w:p>
        </w:tc>
      </w:tr>
      <w:tr w14:paraId="0504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trPr>
        <w:tc>
          <w:tcPr>
            <w:tcW w:w="1185" w:type="dxa"/>
          </w:tcPr>
          <w:p w14:paraId="0173C9C4">
            <w:pPr>
              <w:widowControl/>
              <w:rPr>
                <w:rFonts w:ascii="宋体" w:hAnsi="宋体" w:cs="宋体"/>
                <w:color w:val="000000"/>
                <w:kern w:val="0"/>
                <w:szCs w:val="21"/>
              </w:rPr>
            </w:pPr>
            <w:r>
              <w:rPr>
                <w:rFonts w:hint="eastAsia" w:ascii="宋体" w:hAnsi="宋体" w:cs="宋体"/>
                <w:color w:val="000000"/>
                <w:kern w:val="0"/>
                <w:szCs w:val="21"/>
              </w:rPr>
              <w:t>功能分类</w:t>
            </w:r>
          </w:p>
          <w:p w14:paraId="4637FAF3">
            <w:pPr>
              <w:rPr>
                <w:rFonts w:ascii="宋体" w:hAnsi="宋体" w:cs="宋体"/>
                <w:color w:val="000000"/>
                <w:szCs w:val="21"/>
              </w:rPr>
            </w:pPr>
            <w:r>
              <w:rPr>
                <w:rFonts w:hint="eastAsia" w:ascii="宋体" w:hAnsi="宋体" w:cs="宋体"/>
                <w:color w:val="000000"/>
                <w:kern w:val="0"/>
                <w:szCs w:val="21"/>
              </w:rPr>
              <w:t>科目编码</w:t>
            </w:r>
          </w:p>
        </w:tc>
        <w:tc>
          <w:tcPr>
            <w:tcW w:w="2495" w:type="dxa"/>
            <w:vAlign w:val="center"/>
          </w:tcPr>
          <w:p w14:paraId="7CF35A49">
            <w:pPr>
              <w:jc w:val="center"/>
              <w:rPr>
                <w:rFonts w:ascii="宋体" w:hAnsi="宋体" w:cs="宋体"/>
                <w:color w:val="000000"/>
                <w:szCs w:val="21"/>
              </w:rPr>
            </w:pPr>
            <w:r>
              <w:rPr>
                <w:rFonts w:hint="eastAsia" w:ascii="宋体" w:hAnsi="宋体" w:cs="宋体"/>
                <w:color w:val="000000"/>
                <w:kern w:val="0"/>
                <w:szCs w:val="21"/>
              </w:rPr>
              <w:t>科目名称</w:t>
            </w:r>
          </w:p>
        </w:tc>
        <w:tc>
          <w:tcPr>
            <w:tcW w:w="3263" w:type="dxa"/>
            <w:vAlign w:val="center"/>
          </w:tcPr>
          <w:p w14:paraId="05CB3A3A">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655" w:type="dxa"/>
            <w:gridSpan w:val="2"/>
            <w:vAlign w:val="center"/>
          </w:tcPr>
          <w:p w14:paraId="3D9878FB">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基本支出</w:t>
            </w:r>
          </w:p>
        </w:tc>
        <w:tc>
          <w:tcPr>
            <w:tcW w:w="3576" w:type="dxa"/>
            <w:vAlign w:val="center"/>
          </w:tcPr>
          <w:p w14:paraId="754B0741">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项目支出</w:t>
            </w:r>
          </w:p>
        </w:tc>
      </w:tr>
      <w:tr w14:paraId="5CF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62A25517">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3263" w:type="dxa"/>
            <w:vAlign w:val="center"/>
          </w:tcPr>
          <w:p w14:paraId="6BC8ABF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3655" w:type="dxa"/>
            <w:gridSpan w:val="2"/>
            <w:vAlign w:val="center"/>
          </w:tcPr>
          <w:p w14:paraId="5CA0F48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76" w:type="dxa"/>
            <w:vAlign w:val="center"/>
          </w:tcPr>
          <w:p w14:paraId="0202E2DD">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14:paraId="6FA9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50866DD9">
            <w:pPr>
              <w:widowControl/>
              <w:jc w:val="center"/>
              <w:rPr>
                <w:rFonts w:ascii="宋体" w:hAnsi="宋体" w:cs="宋体"/>
                <w:color w:val="000000"/>
                <w:kern w:val="0"/>
                <w:szCs w:val="21"/>
              </w:rPr>
            </w:pPr>
          </w:p>
        </w:tc>
        <w:tc>
          <w:tcPr>
            <w:tcW w:w="2495" w:type="dxa"/>
            <w:vAlign w:val="center"/>
          </w:tcPr>
          <w:p w14:paraId="17945F7D">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263" w:type="dxa"/>
            <w:vAlign w:val="center"/>
          </w:tcPr>
          <w:p w14:paraId="03ECF4C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3655" w:type="dxa"/>
            <w:gridSpan w:val="2"/>
            <w:vAlign w:val="center"/>
          </w:tcPr>
          <w:p w14:paraId="76BEA1CC">
            <w:pPr>
              <w:widowControl/>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
            </w:r>
            <w:r>
              <w:rPr>
                <w:rFonts w:hint="eastAsia" w:ascii="宋体" w:hAnsi="宋体" w:cs="宋体"/>
                <w:color w:val="000000"/>
                <w:kern w:val="0"/>
                <w:szCs w:val="21"/>
                <w:lang w:val="en-US" w:eastAsia="zh-CN"/>
              </w:rPr>
              <w:t>0</w:t>
            </w:r>
            <w:r>
              <w:rPr>
                <w:rFonts w:hint="eastAsia" w:ascii="宋体" w:hAnsi="宋体" w:cs="宋体"/>
                <w:color w:val="000000"/>
                <w:kern w:val="0"/>
                <w:szCs w:val="21"/>
                <w:lang w:val="en-US" w:eastAsia="zh-CN"/>
              </w:rPr>
              <w:t/>
            </w:r>
          </w:p>
        </w:tc>
        <w:tc>
          <w:tcPr>
            <w:tcW w:w="3576" w:type="dxa"/>
            <w:vAlign w:val="center"/>
          </w:tcPr>
          <w:p w14:paraId="7E015993">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3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37F29188">
            <w:pPr>
              <w:widowControl/>
              <w:jc w:val="center"/>
              <w:rPr>
                <w:rFonts w:ascii="宋体" w:hAnsi="宋体" w:cs="宋体"/>
                <w:color w:val="000000"/>
                <w:kern w:val="0"/>
                <w:szCs w:val="21"/>
              </w:rPr>
            </w:pPr>
          </w:p>
        </w:tc>
        <w:tc>
          <w:tcPr>
            <w:tcW w:w="2495" w:type="dxa"/>
            <w:vAlign w:val="center"/>
          </w:tcPr>
          <w:p w14:paraId="6D3645DA">
            <w:pPr>
              <w:widowControl/>
              <w:jc w:val="center"/>
              <w:rPr>
                <w:rFonts w:hint="eastAsia" w:ascii="宋体" w:hAnsi="宋体" w:cs="宋体"/>
                <w:color w:val="000000"/>
                <w:kern w:val="0"/>
                <w:szCs w:val="21"/>
              </w:rPr>
            </w:pPr>
          </w:p>
        </w:tc>
        <w:tc>
          <w:tcPr>
            <w:tcW w:w="3263" w:type="dxa"/>
            <w:vAlign w:val="center"/>
          </w:tcPr>
          <w:p w14:paraId="0A8044F4">
            <w:pPr>
              <w:widowControl/>
              <w:jc w:val="right"/>
              <w:rPr>
                <w:rFonts w:hint="eastAsia" w:ascii="宋体" w:hAnsi="宋体" w:cs="宋体"/>
                <w:color w:val="000000"/>
                <w:kern w:val="0"/>
                <w:szCs w:val="21"/>
              </w:rPr>
            </w:pPr>
          </w:p>
        </w:tc>
        <w:tc>
          <w:tcPr>
            <w:tcW w:w="3655" w:type="dxa"/>
            <w:gridSpan w:val="2"/>
            <w:vAlign w:val="center"/>
          </w:tcPr>
          <w:p w14:paraId="142F71D0">
            <w:pPr>
              <w:widowControl/>
              <w:jc w:val="right"/>
              <w:rPr>
                <w:rFonts w:hint="eastAsia" w:ascii="宋体" w:hAnsi="宋体" w:cs="宋体"/>
                <w:color w:val="000000"/>
                <w:kern w:val="0"/>
                <w:szCs w:val="21"/>
              </w:rPr>
            </w:pPr>
          </w:p>
        </w:tc>
        <w:tc>
          <w:tcPr>
            <w:tcW w:w="3576" w:type="dxa"/>
            <w:vAlign w:val="center"/>
          </w:tcPr>
          <w:p w14:paraId="3E393EB9">
            <w:pPr>
              <w:widowControl/>
              <w:jc w:val="right"/>
              <w:rPr>
                <w:rFonts w:hint="eastAsia" w:ascii="宋体" w:hAnsi="宋体" w:cs="宋体"/>
                <w:color w:val="000000"/>
                <w:kern w:val="0"/>
                <w:szCs w:val="21"/>
              </w:rPr>
            </w:pPr>
          </w:p>
        </w:tc>
      </w:tr>
    </w:tbl>
    <w:p w14:paraId="4F4559FF">
      <w:pPr>
        <w:rPr>
          <w:rFonts w:hint="eastAsia"/>
          <w:color w:val="000000"/>
        </w:rPr>
      </w:pPr>
    </w:p>
    <w:p w14:paraId="405D3E15">
      <w:pPr>
        <w:rPr>
          <w:rFonts w:hint="eastAsia" w:eastAsia="宋体"/>
          <w:color w:val="000000"/>
          <w:lang w:val="en-US" w:eastAsia="zh-CN"/>
        </w:rPr>
      </w:pPr>
      <w:r>
        <w:rPr>
          <w:rFonts w:hint="eastAsia"/>
          <w:color w:val="000000"/>
        </w:rPr>
        <w:t>注：</w:t>
      </w:r>
      <w:bookmarkStart w:id="17" w:name="PO_part2Table1Remark9"/>
      <w:r>
        <w:rPr>
          <w:rFonts w:hint="eastAsia"/>
          <w:color w:val="000000"/>
        </w:rPr>
        <w:t xml:space="preserve"> 本表反映部门</w:t>
      </w:r>
      <w:r>
        <w:rPr>
          <w:rFonts w:hint="eastAsia"/>
          <w:color w:val="000000"/>
          <w:lang w:val="en-US" w:eastAsia="zh-CN"/>
        </w:rPr>
        <w:t>2024</w:t>
      </w:r>
      <w:r>
        <w:rPr>
          <w:rFonts w:hint="eastAsia"/>
          <w:color w:val="000000"/>
        </w:rPr>
        <w:t>年度国有资本经营预算财政拨款支出情况。</w:t>
      </w:r>
    </w:p>
    <w:p w14:paraId="2F1330D7">
      <w:pPr>
        <w:spacing w:line="560" w:lineRule="exact"/>
        <w:rPr>
          <w:rFonts w:hint="eastAsia"/>
          <w:color w:val="000000"/>
        </w:rPr>
      </w:pPr>
      <w:r>
        <w:rPr>
          <w:rFonts w:hint="eastAsia"/>
          <w:color w:val="000000"/>
        </w:rPr>
        <w:t/>
      </w:r>
      <w:r>
        <w:rPr>
          <w:rFonts w:hint="eastAsia"/>
          <w:color w:val="000000"/>
        </w:rPr>
        <w:t>本部门</w:t>
      </w:r>
      <w:r>
        <w:rPr>
          <w:rFonts w:hint="eastAsia"/>
          <w:color w:val="000000"/>
          <w:lang w:val="en-US" w:eastAsia="zh-CN"/>
        </w:rPr>
        <w:t>2024</w:t>
      </w:r>
      <w:r>
        <w:rPr>
          <w:rFonts w:hint="eastAsia"/>
          <w:color w:val="000000"/>
        </w:rPr>
        <w:t xml:space="preserve">年度没有国有资本经营预算财政拨款收入，也没有国有资本经营预算财政拨款安排的支出，故本表无数据。 </w:t>
      </w:r>
      <w:bookmarkEnd w:id="17"/>
      <w:r>
        <w:rPr>
          <w:rFonts w:hint="eastAsia"/>
          <w:color w:val="000000"/>
        </w:rPr>
        <w:t xml:space="preserve"> </w:t>
      </w:r>
      <w:r>
        <w:rPr>
          <w:rFonts w:hint="eastAsia"/>
          <w:color w:val="000000"/>
        </w:rPr>
        <w:t/>
      </w:r>
      <w:r>
        <w:rPr>
          <w:rFonts w:hint="eastAsia"/>
          <w:color w:val="000000"/>
        </w:rPr>
        <w:t xml:space="preserve">   </w:t>
      </w:r>
      <w:bookmarkEnd w:id="16"/>
    </w:p>
    <w:p w14:paraId="1345473A">
      <w:pPr>
        <w:keepNext w:val="0"/>
        <w:keepLines w:val="0"/>
        <w:pageBreakBefore/>
        <w:widowControl/>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2CD9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14:paraId="4BB177E7">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9</w:t>
            </w:r>
          </w:p>
        </w:tc>
      </w:tr>
      <w:tr w14:paraId="184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4BCD860C">
            <w:pPr>
              <w:jc w:val="center"/>
              <w:rPr>
                <w:rFonts w:ascii="宋体" w:hAnsi="宋体" w:cs="宋体"/>
                <w:b/>
                <w:color w:val="000000"/>
              </w:rPr>
            </w:pPr>
            <w:r>
              <w:rPr>
                <w:rFonts w:hint="eastAsia" w:ascii="宋体" w:hAnsi="宋体" w:cs="宋体"/>
                <w:b/>
                <w:color w:val="000000"/>
                <w:kern w:val="0"/>
                <w:sz w:val="32"/>
                <w:szCs w:val="32"/>
              </w:rPr>
              <w:t>财政拨款安排的“三公”经费支出决算表</w:t>
            </w:r>
          </w:p>
        </w:tc>
      </w:tr>
      <w:tr w14:paraId="5B6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14:paraId="1009E663">
            <w:pPr>
              <w:spacing w:line="288" w:lineRule="auto"/>
              <w:jc w:val="left"/>
              <w:rPr>
                <w:rFonts w:ascii="宋体" w:hAnsi="宋体" w:cs="宋体"/>
                <w:color w:val="000000"/>
                <w:sz w:val="28"/>
                <w:szCs w:val="28"/>
              </w:rPr>
            </w:pPr>
            <w:r>
              <w:rPr>
                <w:rFonts w:hint="eastAsia" w:ascii="宋体" w:hAnsi="宋体" w:cs="宋体"/>
                <w:color w:val="000000"/>
                <w:kern w:val="0"/>
                <w:sz w:val="20"/>
                <w:szCs w:val="20"/>
              </w:rPr>
              <w:t xml:space="preserve">部门： </w:t>
            </w:r>
            <w:r>
              <w:rPr>
                <w:rFonts w:hint="eastAsia" w:ascii="宋体" w:hAnsi="宋体" w:cs="宋体"/>
                <w:color w:val="000000" w:themeColor="text1"/>
                <w:kern w:val="0"/>
                <w:sz w:val="20"/>
                <w:szCs w:val="20"/>
                <w:u w:val="none"/>
                <w:lang w:val="en-US" w:eastAsia="zh-CN"/>
                <w14:textFill>
                  <w14:solidFill>
                    <w14:schemeClr w14:val="tx1"/>
                  </w14:solidFill>
                </w14:textFill>
              </w:rPr>
              <w:t>百色市群众工作服务中心</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3535" w:type="dxa"/>
            <w:gridSpan w:val="3"/>
            <w:tcBorders>
              <w:top w:val="nil"/>
              <w:left w:val="nil"/>
              <w:bottom w:val="single" w:color="auto" w:sz="4" w:space="0"/>
              <w:right w:val="nil"/>
            </w:tcBorders>
            <w:vAlign w:val="center"/>
          </w:tcPr>
          <w:p w14:paraId="1B03172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1965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14:paraId="1DDDFCF6">
            <w:pPr>
              <w:jc w:val="center"/>
              <w:rPr>
                <w:rFonts w:ascii="宋体" w:hAnsi="宋体" w:cs="宋体"/>
                <w:color w:val="000000"/>
                <w:szCs w:val="21"/>
              </w:rPr>
            </w:pPr>
            <w:r>
              <w:rPr>
                <w:rFonts w:hint="eastAsia" w:ascii="宋体" w:hAnsi="宋体" w:cs="Arial"/>
                <w:color w:val="000000"/>
                <w:kern w:val="0"/>
                <w:szCs w:val="21"/>
                <w:lang w:val="en-US" w:eastAsia="zh-CN"/>
              </w:rPr>
              <w:t>2024</w:t>
            </w:r>
            <w:r>
              <w:rPr>
                <w:rFonts w:hint="eastAsia" w:ascii="宋体" w:hAnsi="宋体" w:cs="Arial"/>
                <w:color w:val="000000"/>
                <w:kern w:val="0"/>
                <w:szCs w:val="21"/>
              </w:rPr>
              <w:t>年度预算数</w:t>
            </w:r>
          </w:p>
        </w:tc>
        <w:tc>
          <w:tcPr>
            <w:tcW w:w="7081" w:type="dxa"/>
            <w:gridSpan w:val="6"/>
            <w:tcBorders>
              <w:top w:val="single" w:color="auto" w:sz="4" w:space="0"/>
            </w:tcBorders>
            <w:vAlign w:val="center"/>
          </w:tcPr>
          <w:p w14:paraId="57CF99ED">
            <w:pPr>
              <w:jc w:val="center"/>
              <w:rPr>
                <w:rFonts w:ascii="宋体" w:hAnsi="宋体" w:cs="宋体"/>
                <w:color w:val="000000"/>
                <w:szCs w:val="21"/>
              </w:rPr>
            </w:pPr>
            <w:r>
              <w:rPr>
                <w:rFonts w:hint="eastAsia" w:ascii="宋体" w:hAnsi="宋体" w:cs="宋体"/>
                <w:color w:val="000000"/>
                <w:kern w:val="0"/>
                <w:szCs w:val="21"/>
                <w:lang w:val="en-US" w:eastAsia="zh-CN"/>
              </w:rPr>
              <w:t>2024</w:t>
            </w:r>
            <w:r>
              <w:rPr>
                <w:rFonts w:hint="eastAsia" w:ascii="宋体" w:hAnsi="宋体" w:cs="宋体"/>
                <w:color w:val="000000"/>
                <w:kern w:val="0"/>
                <w:szCs w:val="21"/>
              </w:rPr>
              <w:t>年度决算数</w:t>
            </w:r>
          </w:p>
        </w:tc>
      </w:tr>
      <w:tr w14:paraId="3CB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23A0DEA0">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685A2C4B">
            <w:pPr>
              <w:widowControl/>
              <w:jc w:val="center"/>
              <w:rPr>
                <w:rFonts w:ascii="宋体" w:hAnsi="宋体" w:cs="宋体"/>
                <w:color w:val="000000"/>
                <w:kern w:val="0"/>
                <w:szCs w:val="21"/>
              </w:rPr>
            </w:pPr>
            <w:r>
              <w:rPr>
                <w:rFonts w:hint="eastAsia" w:ascii="宋体" w:hAnsi="宋体" w:cs="宋体"/>
                <w:color w:val="000000"/>
                <w:kern w:val="0"/>
                <w:szCs w:val="21"/>
              </w:rPr>
              <w:t>因公出国（境）费</w:t>
            </w:r>
          </w:p>
        </w:tc>
        <w:tc>
          <w:tcPr>
            <w:tcW w:w="3546" w:type="dxa"/>
            <w:gridSpan w:val="3"/>
            <w:vAlign w:val="center"/>
          </w:tcPr>
          <w:p w14:paraId="2321917E">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82" w:type="dxa"/>
            <w:vMerge w:val="restart"/>
            <w:vAlign w:val="center"/>
          </w:tcPr>
          <w:p w14:paraId="2BB59124">
            <w:pPr>
              <w:widowControl/>
              <w:jc w:val="center"/>
              <w:rPr>
                <w:rFonts w:ascii="宋体" w:hAnsi="宋体" w:cs="宋体"/>
                <w:color w:val="000000"/>
                <w:kern w:val="0"/>
                <w:szCs w:val="21"/>
              </w:rPr>
            </w:pPr>
            <w:r>
              <w:rPr>
                <w:rFonts w:hint="eastAsia" w:ascii="宋体" w:hAnsi="宋体" w:cs="宋体"/>
                <w:color w:val="000000"/>
                <w:kern w:val="0"/>
                <w:szCs w:val="21"/>
              </w:rPr>
              <w:t>公务接待费</w:t>
            </w:r>
          </w:p>
        </w:tc>
        <w:tc>
          <w:tcPr>
            <w:tcW w:w="1182" w:type="dxa"/>
            <w:vMerge w:val="restart"/>
            <w:vAlign w:val="center"/>
          </w:tcPr>
          <w:p w14:paraId="267AC024">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7529D960">
            <w:pPr>
              <w:jc w:val="center"/>
              <w:rPr>
                <w:rFonts w:ascii="宋体" w:hAnsi="宋体" w:cs="宋体"/>
                <w:color w:val="000000"/>
                <w:szCs w:val="21"/>
              </w:rPr>
            </w:pPr>
            <w:r>
              <w:rPr>
                <w:rFonts w:hint="eastAsia" w:ascii="宋体" w:hAnsi="宋体" w:cs="宋体"/>
                <w:color w:val="000000"/>
                <w:kern w:val="0"/>
                <w:szCs w:val="21"/>
              </w:rPr>
              <w:t>因公出国（境）费</w:t>
            </w:r>
          </w:p>
        </w:tc>
        <w:tc>
          <w:tcPr>
            <w:tcW w:w="3546" w:type="dxa"/>
            <w:gridSpan w:val="3"/>
            <w:vAlign w:val="center"/>
          </w:tcPr>
          <w:p w14:paraId="721D536D">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71" w:type="dxa"/>
            <w:vMerge w:val="restart"/>
            <w:vAlign w:val="center"/>
          </w:tcPr>
          <w:p w14:paraId="1F056E74">
            <w:pPr>
              <w:jc w:val="center"/>
              <w:rPr>
                <w:rFonts w:ascii="宋体" w:hAnsi="宋体" w:cs="宋体"/>
                <w:color w:val="000000"/>
                <w:szCs w:val="21"/>
              </w:rPr>
            </w:pPr>
            <w:r>
              <w:rPr>
                <w:rFonts w:hint="eastAsia" w:ascii="宋体" w:hAnsi="宋体" w:cs="宋体"/>
                <w:color w:val="000000"/>
                <w:kern w:val="0"/>
                <w:szCs w:val="21"/>
              </w:rPr>
              <w:t>公务接待费</w:t>
            </w:r>
          </w:p>
        </w:tc>
      </w:tr>
      <w:tr w14:paraId="2A9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14:paraId="6E6968CC">
            <w:pPr>
              <w:spacing w:line="288" w:lineRule="auto"/>
              <w:rPr>
                <w:rFonts w:ascii="宋体" w:hAnsi="宋体" w:cs="宋体"/>
                <w:color w:val="000000"/>
                <w:szCs w:val="21"/>
              </w:rPr>
            </w:pPr>
          </w:p>
        </w:tc>
        <w:tc>
          <w:tcPr>
            <w:tcW w:w="1182" w:type="dxa"/>
            <w:vMerge w:val="continue"/>
          </w:tcPr>
          <w:p w14:paraId="3D4A0483">
            <w:pPr>
              <w:spacing w:line="288" w:lineRule="auto"/>
              <w:rPr>
                <w:rFonts w:ascii="宋体" w:hAnsi="宋体" w:cs="宋体"/>
                <w:color w:val="000000"/>
                <w:szCs w:val="21"/>
              </w:rPr>
            </w:pPr>
          </w:p>
        </w:tc>
        <w:tc>
          <w:tcPr>
            <w:tcW w:w="1182" w:type="dxa"/>
            <w:vAlign w:val="center"/>
          </w:tcPr>
          <w:p w14:paraId="6A32DC27">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4FA32D29">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79084CFD">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16EFFEC1">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4F3DAD3D">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82" w:type="dxa"/>
            <w:vMerge w:val="continue"/>
          </w:tcPr>
          <w:p w14:paraId="378A03D5">
            <w:pPr>
              <w:spacing w:line="288" w:lineRule="auto"/>
              <w:rPr>
                <w:rFonts w:ascii="宋体" w:hAnsi="宋体" w:cs="宋体"/>
                <w:color w:val="000000"/>
                <w:szCs w:val="21"/>
              </w:rPr>
            </w:pPr>
          </w:p>
        </w:tc>
        <w:tc>
          <w:tcPr>
            <w:tcW w:w="1182" w:type="dxa"/>
            <w:vMerge w:val="continue"/>
          </w:tcPr>
          <w:p w14:paraId="3FAB0B75">
            <w:pPr>
              <w:spacing w:line="288" w:lineRule="auto"/>
              <w:rPr>
                <w:rFonts w:ascii="宋体" w:hAnsi="宋体" w:cs="宋体"/>
                <w:color w:val="000000"/>
                <w:szCs w:val="21"/>
              </w:rPr>
            </w:pPr>
          </w:p>
        </w:tc>
        <w:tc>
          <w:tcPr>
            <w:tcW w:w="1182" w:type="dxa"/>
            <w:vMerge w:val="continue"/>
          </w:tcPr>
          <w:p w14:paraId="506B417B">
            <w:pPr>
              <w:spacing w:line="288" w:lineRule="auto"/>
              <w:rPr>
                <w:rFonts w:ascii="宋体" w:hAnsi="宋体" w:cs="宋体"/>
                <w:color w:val="000000"/>
                <w:szCs w:val="21"/>
              </w:rPr>
            </w:pPr>
          </w:p>
        </w:tc>
        <w:tc>
          <w:tcPr>
            <w:tcW w:w="1182" w:type="dxa"/>
            <w:vAlign w:val="center"/>
          </w:tcPr>
          <w:p w14:paraId="3D65A925">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752F40A2">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28C0640E">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358E9A7F">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605AA13F">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71" w:type="dxa"/>
            <w:vMerge w:val="continue"/>
          </w:tcPr>
          <w:p w14:paraId="6AEABCEE">
            <w:pPr>
              <w:spacing w:line="288" w:lineRule="auto"/>
              <w:rPr>
                <w:rFonts w:ascii="宋体" w:hAnsi="宋体" w:cs="宋体"/>
                <w:color w:val="000000"/>
                <w:szCs w:val="21"/>
              </w:rPr>
            </w:pPr>
          </w:p>
        </w:tc>
      </w:tr>
      <w:tr w14:paraId="6B9F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56BBAC5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82" w:type="dxa"/>
            <w:vAlign w:val="center"/>
          </w:tcPr>
          <w:p w14:paraId="20D0D6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82" w:type="dxa"/>
            <w:vAlign w:val="center"/>
          </w:tcPr>
          <w:p w14:paraId="44DB3C3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82" w:type="dxa"/>
            <w:vAlign w:val="center"/>
          </w:tcPr>
          <w:p w14:paraId="4F8B7F7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82" w:type="dxa"/>
            <w:vAlign w:val="center"/>
          </w:tcPr>
          <w:p w14:paraId="30968906">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82" w:type="dxa"/>
            <w:vAlign w:val="center"/>
          </w:tcPr>
          <w:p w14:paraId="7BC3B85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82" w:type="dxa"/>
            <w:vAlign w:val="center"/>
          </w:tcPr>
          <w:p w14:paraId="57C54F95">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182" w:type="dxa"/>
            <w:vAlign w:val="center"/>
          </w:tcPr>
          <w:p w14:paraId="4FCE889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82" w:type="dxa"/>
            <w:vAlign w:val="center"/>
          </w:tcPr>
          <w:p w14:paraId="45145B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82" w:type="dxa"/>
            <w:vAlign w:val="center"/>
          </w:tcPr>
          <w:p w14:paraId="36FB6CE7">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82" w:type="dxa"/>
            <w:vAlign w:val="center"/>
          </w:tcPr>
          <w:p w14:paraId="4DCCE752">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171" w:type="dxa"/>
            <w:vAlign w:val="center"/>
          </w:tcPr>
          <w:p w14:paraId="77C49A10">
            <w:pPr>
              <w:widowControl/>
              <w:jc w:val="center"/>
              <w:rPr>
                <w:rFonts w:ascii="宋体" w:hAnsi="宋体" w:cs="宋体"/>
                <w:color w:val="000000"/>
                <w:kern w:val="0"/>
                <w:szCs w:val="21"/>
              </w:rPr>
            </w:pPr>
            <w:r>
              <w:rPr>
                <w:rFonts w:hint="eastAsia" w:ascii="宋体" w:hAnsi="宋体" w:cs="宋体"/>
                <w:color w:val="000000"/>
                <w:kern w:val="0"/>
                <w:szCs w:val="21"/>
              </w:rPr>
              <w:t>12</w:t>
            </w:r>
          </w:p>
        </w:tc>
      </w:tr>
      <w:tr w14:paraId="548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4CD82B4C">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
            </w:r>
            <w:r>
              <w:rPr>
                <w:rFonts w:hint="default" w:ascii="宋体" w:hAnsi="宋体" w:cs="宋体"/>
                <w:color w:val="000000"/>
                <w:kern w:val="0"/>
                <w:szCs w:val="21"/>
                <w:lang w:val="en-US"/>
              </w:rPr>
              <w:t>0</w:t>
            </w:r>
          </w:p>
        </w:tc>
        <w:tc>
          <w:tcPr>
            <w:tcW w:w="1182" w:type="dxa"/>
            <w:vAlign w:val="center"/>
          </w:tcPr>
          <w:p w14:paraId="00C23A22">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61291E7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6713228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0FEF2EC8">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3C5112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3C3D741D">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4A073681">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82C5BE8">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4501A4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12BACA23">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71" w:type="dxa"/>
            <w:vAlign w:val="center"/>
          </w:tcPr>
          <w:p w14:paraId="12AFDC25">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w:t>
            </w:r>
            <w:r>
              <w:rPr>
                <w:rFonts w:hint="eastAsia" w:ascii="宋体" w:hAnsi="宋体" w:eastAsia="宋体" w:cs="宋体"/>
                <w:color w:val="000000"/>
                <w:kern w:val="0"/>
                <w:szCs w:val="21"/>
                <w:lang w:eastAsia="zh-CN"/>
              </w:rPr>
              <w:t/>
            </w:r>
          </w:p>
        </w:tc>
      </w:tr>
    </w:tbl>
    <w:p w14:paraId="4434134D">
      <w:pPr>
        <w:rPr>
          <w:rFonts w:hint="eastAsia"/>
          <w:color w:val="000000"/>
        </w:rPr>
      </w:pPr>
    </w:p>
    <w:p w14:paraId="2EAB5B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 本表反映部门</w:t>
      </w:r>
      <w:r>
        <w:rPr>
          <w:rFonts w:hint="eastAsia"/>
          <w:color w:val="000000"/>
          <w:lang w:val="en-US" w:eastAsia="zh-CN"/>
        </w:rPr>
        <w:t>2024</w:t>
      </w:r>
      <w:r>
        <w:rPr>
          <w:rFonts w:hint="eastAsia"/>
          <w:color w:val="000000"/>
        </w:rPr>
        <w:t>年度财政拨款“三公”经费支出预决算情况。其中，预算数为“三公”经费全年预算数，反映按规定程序调整后的预算数；决算数是包括当年财政拨款和以前年度结转资金安排的实际支出。</w:t>
      </w:r>
    </w:p>
    <w:p w14:paraId="5A34ED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olor w:val="000000"/>
          <w:lang w:eastAsia="zh-CN"/>
        </w:rPr>
        <w:sectPr>
          <w:pgSz w:w="16838" w:h="11906" w:orient="landscape"/>
          <w:pgMar w:top="1800" w:right="1440" w:bottom="1800" w:left="1440" w:header="851" w:footer="992" w:gutter="0"/>
          <w:cols w:space="720" w:num="1"/>
          <w:docGrid w:type="lines" w:linePitch="312" w:charSpace="0"/>
        </w:sectPr>
      </w:pPr>
      <w:r>
        <w:rPr>
          <w:rFonts w:hint="eastAsia"/>
          <w:color w:val="000000"/>
        </w:rPr>
        <w:t/>
      </w:r>
      <w:r>
        <w:rPr>
          <w:rFonts w:hint="eastAsia" w:ascii="宋体" w:hAnsi="宋体" w:cs="宋体"/>
          <w:color w:val="000000"/>
          <w:kern w:val="0"/>
          <w:szCs w:val="21"/>
        </w:rPr>
        <w:t>本部门2024年度没有财政拨款“三公”经费支出，故本表无数据。</w:t>
      </w:r>
      <w:r>
        <w:rPr>
          <w:rFonts w:hint="eastAsia"/>
          <w:color w:val="000000"/>
        </w:rPr>
        <w:t/>
      </w:r>
    </w:p>
    <w:p w14:paraId="2427BA30">
      <w:pPr>
        <w:spacing w:line="560" w:lineRule="exact"/>
        <w:outlineLvl w:val="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百色市群众工作服务中心</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年度部门决算情况说明</w:t>
      </w:r>
    </w:p>
    <w:p w14:paraId="45F0961C">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年度收入支出决算总体情况</w:t>
      </w:r>
    </w:p>
    <w:p w14:paraId="665918A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rPr>
        <w:t/>
      </w:r>
      <w:r>
        <w:rPr>
          <w:rFonts w:hint="eastAsia" w:ascii="仿宋_GB2312" w:eastAsia="仿宋_GB2312" w:cs="仿宋_GB2312"/>
          <w:kern w:val="0"/>
          <w:sz w:val="32"/>
          <w:szCs w:val="32"/>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年度总收入</w:t>
      </w:r>
      <w:r>
        <w:rPr>
          <w:rFonts w:hint="eastAsia" w:ascii="仿宋_GB2312" w:eastAsia="仿宋_GB2312"/>
          <w:color w:val="000000" w:themeColor="text1"/>
          <w:kern w:val="0"/>
          <w:sz w:val="32"/>
          <w:szCs w:val="32"/>
          <w:u w:val="none"/>
          <w:lang w:val="en-US" w:eastAsia="zh-CN"/>
          <w14:textFill>
            <w14:solidFill>
              <w14:schemeClr w14:val="tx1"/>
            </w14:solidFill>
          </w14:textFill>
        </w:rPr>
        <w:t>161.18</w:t>
      </w:r>
      <w:r>
        <w:rPr>
          <w:rFonts w:hint="eastAsia" w:ascii="仿宋_GB2312" w:eastAsia="仿宋_GB2312" w:cs="仿宋_GB2312"/>
          <w:kern w:val="0"/>
          <w:sz w:val="32"/>
          <w:szCs w:val="32"/>
        </w:rPr>
        <w:t>万元，其中本年收入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161.18</w:t>
      </w:r>
      <w:r>
        <w:rPr>
          <w:rFonts w:hint="eastAsia" w:ascii="仿宋_GB2312" w:eastAsia="仿宋_GB2312" w:cs="仿宋_GB2312"/>
          <w:kern w:val="0"/>
          <w:sz w:val="32"/>
          <w:szCs w:val="32"/>
        </w:rPr>
        <w:t>万元,</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较2023年度决算数162.55万元，减少1.37万元，下降0.8%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val="en-US" w:eastAsia="zh-CN"/>
        </w:rPr>
        <w:t xml:space="preserve"> ：</w:t>
      </w:r>
      <w:r>
        <w:rPr>
          <w:rFonts w:hint="eastAsia" w:ascii="仿宋_GB2312" w:eastAsia="仿宋_GB2312"/>
          <w:bCs/>
          <w:kern w:val="0"/>
          <w:sz w:val="32"/>
          <w:szCs w:val="32"/>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1.一般公共预算财政拨款收入161.18万元，为百色市本级财政当年拨付的资金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较2023年度决算数162.55万元，减少1.37万元，下降0.8%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根据本年度实际工作任务调整，部分预算拨款规模适度压缩，优化财政资金配置。</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2.政府性基金预算财政拨款收入0万元，为百色市本级财政当年拨付的资金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3.国有资本经营预算财政拨款收入0万元，为百色市本级财政当年拨付的资金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4.上级补助收入0万元，为事业单位当年从主管部门和上级单位收到或应收的非财政拨款收入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5.事业收入0万元，为事业单位开展业务活动取得的收入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6.经营收入0万元，为事业单位在业务活动之外开展非独立核算经营活动取得的收入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7.附属单位上缴收入0万元，为事业单位取得的附属独立核算单位按照有关规定上缴的收入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8.其他收入0万元，为预算单位在“财政拨款收入”“事业收入”“经营收入”之外取得的收入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9.使用非财政拨款结余（含专用结余）0万元，主要是所属事业单位在当年的“财政拨款收入”“事业收入”“经营收入”及“其他收入”不能保证其支出的情况下，使用以前年度积累的非财政拨款结余、专用结余弥补本年度收支缺口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10.上年结转和结余0万元，为以前年度支出预算因客观条件变化未执行完毕、结转到本年度按有关规定继续使用的资金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766AE60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年度总支出</w:t>
      </w:r>
      <w:r>
        <w:rPr>
          <w:rFonts w:hint="eastAsia" w:ascii="仿宋_GB2312" w:eastAsia="仿宋_GB2312"/>
          <w:color w:val="000000" w:themeColor="text1"/>
          <w:kern w:val="0"/>
          <w:sz w:val="32"/>
          <w:szCs w:val="32"/>
          <w:u w:val="none"/>
          <w:lang w:val="en-US" w:eastAsia="zh-CN"/>
          <w14:textFill>
            <w14:solidFill>
              <w14:schemeClr w14:val="tx1"/>
            </w14:solidFill>
          </w14:textFill>
        </w:rPr>
        <w:t>161.18</w:t>
      </w:r>
      <w:r>
        <w:rPr>
          <w:rFonts w:hint="eastAsia" w:ascii="仿宋_GB2312" w:eastAsia="仿宋_GB2312" w:cs="仿宋_GB2312"/>
          <w:kern w:val="0"/>
          <w:sz w:val="32"/>
          <w:szCs w:val="32"/>
        </w:rPr>
        <w:t>万元，其中本年支出</w:t>
      </w:r>
      <w:r>
        <w:rPr>
          <w:rFonts w:hint="eastAsia" w:ascii="仿宋_GB2312" w:eastAsia="仿宋_GB2312"/>
          <w:color w:val="000000" w:themeColor="text1"/>
          <w:kern w:val="0"/>
          <w:sz w:val="32"/>
          <w:szCs w:val="32"/>
          <w:u w:val="none"/>
          <w:lang w:val="en-US" w:eastAsia="zh-CN"/>
          <w14:textFill>
            <w14:solidFill>
              <w14:schemeClr w14:val="tx1"/>
            </w14:solidFill>
          </w14:textFill>
        </w:rPr>
        <w:t>161.18</w:t>
      </w:r>
      <w:r>
        <w:rPr>
          <w:rFonts w:hint="eastAsia" w:ascii="仿宋_GB2312" w:eastAsia="仿宋_GB2312" w:cs="仿宋_GB2312"/>
          <w:kern w:val="0"/>
          <w:sz w:val="32"/>
          <w:szCs w:val="32"/>
        </w:rPr>
        <w:t>万元,</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较2023年度决算数162.55万元，减少1.37万元，下降0.8%</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支出</w:t>
      </w:r>
      <w:r>
        <w:rPr>
          <w:rFonts w:hint="eastAsia" w:ascii="仿宋_GB2312" w:eastAsia="仿宋_GB2312" w:cs="仿宋_GB2312"/>
          <w:kern w:val="0"/>
          <w:sz w:val="32"/>
          <w:szCs w:val="32"/>
        </w:rPr>
        <w:t>具体情况如下：</w:t>
      </w:r>
      <w:r>
        <w:rPr>
          <w:rFonts w:hint="eastAsia" w:ascii="仿宋_GB2312" w:eastAsia="仿宋_GB2312" w:cs="仿宋_GB2312"/>
          <w:color w:val="000000"/>
          <w:kern w:val="0"/>
          <w:sz w:val="32"/>
          <w:szCs w:val="32"/>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1.一般公共服务支出114.07万元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，主要用于单位日常行政运转（如办公耗材采购、水电费缴纳、物业费支出）、人员经费保障（基本工资、津贴补贴发放）等相关费用</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，较2023年度决算数133.04万元，减少18.97万元，下降14.3%，主要原因是：本年度严格落实过紧日子要求，大力压缩非必要开支，减少了低效会议、重复性培训等支出。</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2.外交支出0万元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3.国防支出0万元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4.公共安全支出0万元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5.教育支出0万元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6.科学技术支出0万元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7.文化旅游体育与传媒支出0万元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8.社会保障和就业支出30.03万元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，主要用于单位职工基本养老保险、职业年金缴费，以及离退休人员经费发放等</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，较2023年度决算数14.51万元，增加15.52万元，增长107%，主要原因是：本年度按政策上调了职工养老保险缴费基数。</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9.卫生健康支出4.97万元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，主要用于单位职工基本医疗保险、大额医疗费用补助缴费等相关费用</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，较2023年度决算数3.83万元，增加1.14万元，增长29.8%，主要原因是：本年度基本医疗保险缴费基数随工资标准上调而提高。</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10.节能环保支出0万元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11.城乡社区支出0万元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12.农林水支出0万元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13.交通运输支出0万元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14.资源勘探工业信息等支出0万元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15.商业服务业等支出0万元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16.金融支出0万元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17.援助其他地区支出0万元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18.自然资源海洋气象等支出0万元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19.住房保障支出12.11万元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，主要用于单位职工住房公积金的单位缴纳部分</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，较2023年度决算数11.17万元，增加0.94万元，增长8.4%，主要原因是：本年度根据地方住房公积金管理政策，上调了单位缴费基数。</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20.粮油物资储备支出0万元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21.国有资本经营预算支出0万元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22.灾害防治及应急管理支出0万元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23.其他支出0万元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24.债务还本支出0万元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25.债务付息支出0万元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26.抗疫特别国债安排的支出0万元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27.结余分配0万元，为事业单位按规定提取的专用结余、缴纳所得税和转入非财政拨款结余等</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28.年末结转和结余0万元，为本年度或以前年度预算安排、因客观条件发生变化无法按原计划实施，需要延迟到以后年度按有关规定继续使用的资金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5D5E77CA">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color w:val="000000"/>
          <w:kern w:val="0"/>
          <w:sz w:val="32"/>
          <w:szCs w:val="32"/>
        </w:rPr>
        <w:t/>
      </w:r>
    </w:p>
    <w:p w14:paraId="03C5C4E0">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w:t>
      </w:r>
      <w:r>
        <w:rPr>
          <w:rFonts w:hint="eastAsia" w:ascii="黑体" w:hAnsi="黑体" w:eastAsia="黑体" w:cs="仿宋_GB2312"/>
          <w:kern w:val="0"/>
          <w:sz w:val="32"/>
          <w:szCs w:val="32"/>
          <w:lang w:val="en-US" w:eastAsia="zh-CN"/>
        </w:rPr>
        <w:t>财政拨款</w:t>
      </w:r>
      <w:r>
        <w:rPr>
          <w:rFonts w:hint="eastAsia" w:ascii="黑体" w:hAnsi="黑体" w:eastAsia="黑体" w:cs="仿宋_GB2312"/>
          <w:kern w:val="0"/>
          <w:sz w:val="32"/>
          <w:szCs w:val="32"/>
        </w:rPr>
        <w:t>支出决算情况</w:t>
      </w:r>
    </w:p>
    <w:p w14:paraId="185A6CEB">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百色市群众工作服务中心2024</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eastAsia" w:ascii="仿宋_GB2312" w:eastAsia="仿宋_GB2312"/>
          <w:color w:val="000000" w:themeColor="text1"/>
          <w:kern w:val="0"/>
          <w:sz w:val="32"/>
          <w:szCs w:val="32"/>
          <w:u w:val="none"/>
          <w:lang w:val="en-US" w:eastAsia="zh-CN"/>
          <w14:textFill>
            <w14:solidFill>
              <w14:schemeClr w14:val="tx1"/>
            </w14:solidFill>
          </w14:textFill>
        </w:rPr>
        <w:t>161.18</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rPr>
        <w:t/>
      </w:r>
      <w:r>
        <w:rPr>
          <w:rFonts w:hint="eastAsia" w:ascii="仿宋_GB2312" w:eastAsia="仿宋_GB2312" w:cs="仿宋_GB2312"/>
          <w:kern w:val="0"/>
          <w:sz w:val="32"/>
          <w:szCs w:val="32"/>
          <w:u w:val="none"/>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较2023年度决算数162.55万元，减少1.37万元，下降0.8%</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161.18</w:t>
      </w:r>
      <w:r>
        <w:rPr>
          <w:rFonts w:hint="eastAsia" w:ascii="仿宋_GB2312" w:eastAsia="仿宋_GB2312" w:cs="仿宋_GB2312"/>
          <w:kern w:val="0"/>
          <w:sz w:val="32"/>
          <w:szCs w:val="32"/>
          <w:u w:val="none"/>
        </w:rPr>
        <w:t>万元，项目支出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8883B">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百色市群众工作服务中心2024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hAnsi="黑体" w:eastAsia="仿宋_GB2312"/>
          <w:color w:val="000000" w:themeColor="text1"/>
          <w:sz w:val="32"/>
          <w:szCs w:val="32"/>
          <w:u w:val="none"/>
          <w14:textFill>
            <w14:solidFill>
              <w14:schemeClr w14:val="tx1"/>
            </w14:solidFill>
          </w14:textFill>
        </w:rPr>
        <w:t>一般</w:t>
      </w:r>
      <w:r>
        <w:rPr>
          <w:rFonts w:hint="eastAsia" w:ascii="仿宋_GB2312" w:hAnsi="黑体" w:eastAsia="仿宋_GB2312" w:cs="仿宋_GB2312"/>
          <w:color w:val="000000" w:themeColor="text1"/>
          <w:kern w:val="0"/>
          <w:sz w:val="32"/>
          <w:szCs w:val="32"/>
          <w:u w:val="none"/>
          <w14:textFill>
            <w14:solidFill>
              <w14:schemeClr w14:val="tx1"/>
            </w14:solidFill>
          </w14:textFill>
        </w:rPr>
        <w:t>公共预算财政拨款支出年初预算为</w:t>
      </w:r>
      <w:r>
        <w:rPr>
          <w:rFonts w:hint="eastAsia" w:ascii="仿宋_GB2312" w:eastAsia="仿宋_GB2312"/>
          <w:color w:val="000000" w:themeColor="text1"/>
          <w:kern w:val="0"/>
          <w:sz w:val="32"/>
          <w:szCs w:val="32"/>
          <w:u w:val="none"/>
          <w14:textFill>
            <w14:solidFill>
              <w14:schemeClr w14:val="tx1"/>
            </w14:solidFill>
          </w14:textFill>
        </w:rPr>
        <w:t>155.09</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161.18</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103.9</w:t>
      </w:r>
      <w:r>
        <w:rPr>
          <w:rFonts w:hint="eastAsia" w:ascii="仿宋_GB2312" w:hAnsi="黑体" w:eastAsia="仿宋_GB2312" w:cs="仿宋_GB2312"/>
          <w:kern w:val="0"/>
          <w:sz w:val="32"/>
          <w:szCs w:val="32"/>
          <w:u w:val="none"/>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（一）一般公共服务支出（类）年初预算为106.22万元，决算数为114.07万元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一般公共服务支出（类）政府办公厅（室）及相关机构事务（款）事业运行（项）年初预算为106.22万元，决算数为114.07万元，完成年初预算的107.4%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单位日常事业运转所需的人员经费（基本工资、绩效工资、津贴补贴等）、公用经费（办公耗材、水电费、物业费等）</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年度中期因上级新增任务需额外采购办公设备及支付差旅、会议费用办公耗材、水电费等公用经费实际支出高于年初预算标准，导致决算金额超出预算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（二）外交支出（类）年初预算为0万元，决算数为0万元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（三）国防支出（类）年初预算为0万元，决算数为0万元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（四）公共安全支出（类）年初预算为0万元，决算数为0万元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（五）教育支出（类）年初预算为0万元，决算数为0万元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（六）科学技术支出（类）年初预算为0万元，决算数为0万元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（七）文化旅游体育与传媒支出（类）年初预算为0万元，决算数为0万元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（八）社会保障和就业支出（类）年初预算为31.69万元，决算数为30.03万元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社会保障和就业支出（类）行政事业单位养老支出（款）机关事业单位基本养老保险缴费支出（项）年初预算为21.13万元，决算数为20.02万元，完成年初预算的94.7%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按国家及地方政策规定，缴纳单位职工应承担的机关事业单位基本养老保险费用</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人员变动，实际缴费人数及缴费月份少于年初预算测算数，导致决算支出低于预算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社会保障和就业支出（类）行政事业单位养老支出（款）机关事业单位职业年金缴费支出（项）年初预算为10.56万元，决算数为10.01万元，完成年初预算的94.8%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按政策标准缴纳单位职工机关事业单位职业年金的单位承担部分</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人员变动，实际缴费人数及缴费月份少于年初预算测算数，导致决算支出低于预算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（九）卫生健康支出（类）年初预算为4.79万元，决算数为4.97万元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卫生健康支出（类）行政事业单位医疗（款）事业单位医疗（项）年初预算为4.79万元，决算数为4.97万元，完成年初预算的103.8%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缴纳单位职工基本医疗保险、大额医疗费用补助的单位承担部分的相关费用</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本年度地方医保部门上调了事业单位医疗缴费基数下限，导致实际缴费金额高于年初按原基数测算的预算数</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（十）节能环保支出（类）年初预算为0万元，决算数为0万元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（十一）城乡社区支出（类）年初预算为0万元，决算数为0万元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（十二）农林水支出（类）年初预算为0万元，决算数为0万元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（十三）交通运输支出（类）年初预算为0万元，决算数为0万元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（十四）资源勘探工业信息等支出（类）年初预算为0万元，决算数为0万元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（十五）商业服务业等支出（类）年初预算为0万元，决算数为0万元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（十六）金融支出（类）年初预算为0万元，决算数为0万元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（十七）援助其他地区支出（类）年初预算为0万元，决算数为0万元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（十八）自然资源海洋气象等支出（类）年初预算为0万元，决算数为0万元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（十九）住房保障支出（类）年初预算为12.39万元，决算数为12.11万元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住房保障支出（类）住房改革支出（款）住房公积金（项）年初预算为12.39万元，决算数为12.11万元，完成年初预算的97.7%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按国家及地方住房公积金政策规定，缴纳单位职工住房公积金的单位承担部分</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年初预算部分职工未达预算测算的缴费基数上限，实际缴费金额略低于预算，导致决算数低于预算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（二十）粮油物资储备支出（类）年初预算为0万元，决算数为0万元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（二十一）国有资本经营预算支出（类）年初预算为0万元，决算数为0万元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（二十二）灾害防治及应急管理支出（类）年初预算为0万元，决算数为0万元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（二十三）其他支出（类）年初预算为0万元，决算数为0万元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（二十四）债务还本支出（类）年初预算为0万元，决算数为0万元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（二十五）债务付息支出（类）年初预算为0万元，决算数为0万元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（二十六）抗疫特别国债安排的支出（类）年初预算为0万元，决算数为0万元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03FE2D2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73DA9CFF">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年度一般公共预算财政拨款基本支出决算情况说明</w:t>
      </w:r>
    </w:p>
    <w:p w14:paraId="45ACE51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olor w:val="000000" w:themeColor="text1"/>
          <w:kern w:val="0"/>
          <w:sz w:val="32"/>
          <w:szCs w:val="32"/>
          <w:u w:val="none"/>
          <w14:textFill>
            <w14:solidFill>
              <w14:schemeClr w14:val="tx1"/>
            </w14:solidFill>
          </w14:textFill>
        </w:rPr>
        <w:t>161.18</w:t>
      </w:r>
      <w:r>
        <w:rPr>
          <w:rFonts w:hint="eastAsia" w:ascii="仿宋_GB2312" w:eastAsia="仿宋_GB2312" w:cs="仿宋_GB2312"/>
          <w:color w:val="000000" w:themeColor="text1"/>
          <w:kern w:val="0"/>
          <w:sz w:val="32"/>
          <w:szCs w:val="32"/>
          <w:u w:val="none"/>
          <w14:textFill>
            <w14:solidFill>
              <w14:schemeClr w14:val="tx1"/>
            </w14:solidFill>
          </w14:textFill>
        </w:rPr>
        <w:t>万元，支出具体情况如下：</w:t>
      </w:r>
      <w:r>
        <w:rPr>
          <w:rFonts w:hint="eastAsia" w:ascii="仿宋_GB2312" w:eastAsia="仿宋_GB2312" w:cs="仿宋_GB2312"/>
          <w:color w:val="000000" w:themeColor="text1"/>
          <w:kern w:val="0"/>
          <w:sz w:val="32"/>
          <w:szCs w:val="32"/>
          <w:u w:val="none"/>
          <w14:textFill>
            <w14:solidFill>
              <w14:schemeClr w14:val="tx1"/>
            </w14:solidFill>
          </w14:textFill>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（一）工资福利支出年初预算为144.09万元，决算数为150.58万元，完成年初预算的104.5%</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单位在职职工的基本工资、绩效工资、津贴补贴发放，以及按政策缴纳的基本养老保险、职业年金、基本医疗保险、住房公积金等各类社会保障缴费</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大于</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年度内单位按政策完成职工工资调整（如基本工资标准上调、津贴补贴调标），或部分职工因晋薪级，导致工资性收入总额高于年初预算测算值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30101基本工资36.52万元，30102津贴补贴4.76万元，30103奖金12.89万元，30107绩效工资48.68万元，30108机关事业单位基本养老保险缴费20.02万元，30109职业年金缴费10.01万元，30110职工基本医疗保险缴费4.84万元，30112其他社会保障缴费0.75万元，30113住房公积金12.11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（二）商品和服务支出年初预算为11万元，决算数为10.60万元，完成年初预算的96.4%</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单位日常运转所需的办公耗材采购、水电费、物业费、以及开展业务所需的会议费、差旅费、培训费、印刷费等</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小于</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本年度严格落实过紧日子要求，大力压缩非必要开支，实际支出较预算有所节约</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30201办公费4.40万元，30211差旅费1.50万元，30229福利费0.74万元，30299其他商品和服务支出3.96万元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（三）对个人和家庭的补助年初预算为0万元，决算数为0万元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（四）债务利息及费用支出年初预算为0万元，决算数为0万元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（五）资本性支出年初预算为0万元，决算数为0万元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（六）对企业补助年初预算为0万元，决算数为0万元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（七）其他支出年初预算为0万元，决算数为0万元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3DD632A4">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61002573">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olor w:val="000000" w:themeColor="text1"/>
          <w:kern w:val="0"/>
          <w:sz w:val="32"/>
          <w:szCs w:val="32"/>
          <w:u w:val="none"/>
          <w:lang w:val="en-US" w:eastAsia="zh-CN"/>
          <w14:textFill>
            <w14:solidFill>
              <w14:schemeClr w14:val="tx1"/>
            </w14:solidFill>
          </w14:textFill>
        </w:rPr>
        <w:t>年度政府性基金支出决算情况</w:t>
      </w:r>
    </w:p>
    <w:p w14:paraId="2AB8228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百色市群众工作服务中心</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14:textFill>
            <w14:solidFill>
              <w14:schemeClr w14:val="tx1"/>
            </w14:solidFill>
          </w14:textFill>
        </w:rPr>
        <w:t>较2023年度决算数0万元，增加0万元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万元，项目支出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13EFBE9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百色市群众工作服务中心</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hAnsi="黑体" w:eastAsia="仿宋_GB2312" w:cs="仿宋_GB2312"/>
          <w:color w:val="000000" w:themeColor="text1"/>
          <w:kern w:val="0"/>
          <w:sz w:val="32"/>
          <w:szCs w:val="32"/>
          <w:u w:val="none"/>
          <w14:textFill>
            <w14:solidFill>
              <w14:schemeClr w14:val="tx1"/>
            </w14:solidFill>
          </w14:textFill>
        </w:rPr>
        <w:t>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hAnsi="黑体" w:eastAsia="仿宋_GB2312" w:cs="仿宋_GB2312"/>
          <w:color w:val="000000" w:themeColor="text1"/>
          <w:kern w:val="0"/>
          <w:sz w:val="32"/>
          <w:szCs w:val="32"/>
          <w:u w:val="none"/>
          <w14:textFill>
            <w14:solidFill>
              <w14:schemeClr w14:val="tx1"/>
            </w14:solidFill>
          </w14:textFill>
        </w:rPr>
        <w:t/>
      </w:r>
    </w:p>
    <w:p w14:paraId="3ACD797C">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rPr>
        <w:t/>
      </w:r>
      <w:r>
        <w:rPr>
          <w:rFonts w:hint="eastAsia" w:ascii="仿宋_GB2312" w:eastAsia="仿宋_GB2312" w:cs="仿宋_GB2312"/>
          <w:color w:val="000000"/>
          <w:kern w:val="0"/>
          <w:sz w:val="32"/>
          <w:szCs w:val="32"/>
          <w:lang w:val="en-US" w:eastAsia="zh-CN"/>
        </w:rPr>
        <w:t>百色市群众工作服务中心</w:t>
      </w:r>
      <w:r>
        <w:rPr>
          <w:rFonts w:hint="eastAsia" w:ascii="仿宋_GB2312" w:eastAsia="仿宋_GB2312"/>
          <w:color w:val="000000" w:themeColor="text1"/>
          <w:kern w:val="0"/>
          <w:sz w:val="32"/>
          <w:szCs w:val="32"/>
          <w:u w:val="none"/>
          <w14:textFill>
            <w14:solidFill>
              <w14:schemeClr w14:val="tx1"/>
            </w14:solidFill>
          </w14:textFill>
        </w:rPr>
        <w:t>2024年度没有政府性基金收入，也没有政府性基金安排的支出，故无数据情况说明</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p>
    <w:p w14:paraId="1AC7D9A8">
      <w:pPr>
        <w:autoSpaceDE w:val="0"/>
        <w:autoSpaceDN w:val="0"/>
        <w:adjustRightInd w:val="0"/>
        <w:spacing w:line="560" w:lineRule="exact"/>
        <w:jc w:val="left"/>
        <w:rPr>
          <w:rFonts w:hint="eastAsia" w:ascii="仿宋_GB2312" w:eastAsia="仿宋_GB2312" w:cs="仿宋_GB2312"/>
          <w:kern w:val="0"/>
          <w:sz w:val="32"/>
          <w:szCs w:val="32"/>
        </w:rPr>
      </w:pPr>
    </w:p>
    <w:p w14:paraId="2A83A47D">
      <w:pPr>
        <w:autoSpaceDE w:val="0"/>
        <w:autoSpaceDN w:val="0"/>
        <w:adjustRightInd w:val="0"/>
        <w:spacing w:line="560" w:lineRule="exact"/>
        <w:jc w:val="left"/>
        <w:rPr>
          <w:rFonts w:hint="eastAsia" w:ascii="仿宋_GB2312" w:eastAsia="仿宋_GB2312" w:cs="仿宋_GB2312"/>
          <w:kern w:val="0"/>
          <w:sz w:val="32"/>
          <w:szCs w:val="32"/>
        </w:rPr>
      </w:pPr>
    </w:p>
    <w:p w14:paraId="29507B17">
      <w:pPr>
        <w:autoSpaceDE w:val="0"/>
        <w:autoSpaceDN w:val="0"/>
        <w:adjustRightInd w:val="0"/>
        <w:spacing w:line="560" w:lineRule="exact"/>
        <w:ind w:firstLine="640" w:firstLineChars="200"/>
        <w:jc w:val="left"/>
        <w:outlineLvl w:val="1"/>
        <w:rPr>
          <w:rFonts w:hint="eastAsia" w:ascii="黑体" w:hAnsi="黑体" w:eastAsia="黑体"/>
          <w:color w:val="000000" w:themeColor="text1"/>
          <w:kern w:val="0"/>
          <w:sz w:val="32"/>
          <w:szCs w:val="32"/>
          <w:u w:val="none"/>
          <w:lang w:val="en-US" w:eastAsia="zh-CN"/>
          <w14:textFill>
            <w14:solidFill>
              <w14:schemeClr w14:val="tx1"/>
            </w14:solidFill>
          </w14:textFill>
        </w:rPr>
      </w:pPr>
      <w:r>
        <w:rPr>
          <w:rFonts w:hint="eastAsia" w:ascii="黑体" w:hAnsi="黑体" w:eastAsia="黑体"/>
          <w:color w:val="000000" w:themeColor="text1"/>
          <w:kern w:val="0"/>
          <w:sz w:val="32"/>
          <w:szCs w:val="32"/>
          <w:u w:val="none"/>
          <w:lang w:val="en-US" w:eastAsia="zh-CN"/>
          <w14:textFill>
            <w14:solidFill>
              <w14:schemeClr w14:val="tx1"/>
            </w14:solidFill>
          </w14:textFill>
        </w:rPr>
        <w:t>五、</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olor w:val="000000" w:themeColor="text1"/>
          <w:kern w:val="0"/>
          <w:sz w:val="32"/>
          <w:szCs w:val="32"/>
          <w:u w:val="none"/>
          <w:lang w:val="en-US" w:eastAsia="zh-CN"/>
          <w14:textFill>
            <w14:solidFill>
              <w14:schemeClr w14:val="tx1"/>
            </w14:solidFill>
          </w14:textFill>
        </w:rPr>
        <w:t>年度国有资本经营预算支出决算情况</w:t>
      </w:r>
    </w:p>
    <w:p w14:paraId="755FC698">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u w:val="none"/>
          <w14:textFill>
            <w14:solidFill>
              <w14:schemeClr w14:val="tx1"/>
            </w14:solidFill>
          </w14:textFill>
        </w:rPr>
      </w:pP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年度国有资本经营</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较2023年度决算数0万元，增加0万元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。其中：基本支出</w:t>
      </w:r>
      <w:r>
        <w:rPr>
          <w:rFonts w:hint="eastAsia" w:ascii="仿宋_GB2312" w:hAnsi="黑体" w:eastAsia="仿宋_GB2312" w:cs="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万元，项目支出</w:t>
      </w:r>
      <w:r>
        <w:rPr>
          <w:rFonts w:hint="eastAsia" w:ascii="仿宋_GB2312" w:hAnsi="黑体" w:eastAsia="仿宋_GB2312" w:cs="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w:t>
      </w:r>
    </w:p>
    <w:p w14:paraId="6ECA3AE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eastAsia="仿宋_GB2312" w:cs="仿宋_GB2312"/>
          <w:color w:val="000000" w:themeColor="text1"/>
          <w:kern w:val="0"/>
          <w:sz w:val="32"/>
          <w:szCs w:val="32"/>
          <w:u w:val="none"/>
          <w14:textFill>
            <w14:solidFill>
              <w14:schemeClr w14:val="tx1"/>
            </w14:solidFill>
          </w14:textFill>
        </w:rPr>
        <w:t>国有资本经营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hAnsi="黑体" w:eastAsia="仿宋_GB2312" w:cs="仿宋_GB2312"/>
          <w:color w:val="000000" w:themeColor="text1"/>
          <w:kern w:val="0"/>
          <w:sz w:val="32"/>
          <w:szCs w:val="32"/>
          <w:u w:val="none"/>
          <w14:textFill>
            <w14:solidFill>
              <w14:schemeClr w14:val="tx1"/>
            </w14:solidFill>
          </w14:textFill>
        </w:rPr>
        <w:t>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hAnsi="黑体" w:eastAsia="仿宋_GB2312" w:cs="仿宋_GB2312"/>
          <w:color w:val="000000" w:themeColor="text1"/>
          <w:kern w:val="0"/>
          <w:sz w:val="32"/>
          <w:szCs w:val="32"/>
          <w:u w:val="none"/>
          <w14:textFill>
            <w14:solidFill>
              <w14:schemeClr w14:val="tx1"/>
            </w14:solidFill>
          </w14:textFill>
        </w:rPr>
        <w:t/>
      </w:r>
    </w:p>
    <w:p w14:paraId="483907D9">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rPr>
        <w:t/>
      </w:r>
      <w:r>
        <w:rPr>
          <w:rFonts w:hint="eastAsia" w:ascii="仿宋_GB2312" w:eastAsia="仿宋_GB2312" w:cs="仿宋_GB2312"/>
          <w:color w:val="000000"/>
          <w:kern w:val="0"/>
          <w:sz w:val="32"/>
          <w:szCs w:val="32"/>
          <w:lang w:val="en-US" w:eastAsia="zh-CN"/>
        </w:rPr>
        <w:t>百色市群众工作服务中心</w:t>
      </w:r>
      <w:r>
        <w:rPr>
          <w:rFonts w:hint="eastAsia" w:ascii="仿宋_GB2312" w:eastAsia="仿宋_GB2312"/>
          <w:color w:val="000000" w:themeColor="text1"/>
          <w:kern w:val="0"/>
          <w:sz w:val="32"/>
          <w:szCs w:val="32"/>
          <w:u w:val="none"/>
          <w14:textFill>
            <w14:solidFill>
              <w14:schemeClr w14:val="tx1"/>
            </w14:solidFill>
          </w14:textFill>
        </w:rPr>
        <w:t>2024年度没有国有资本经营预算财政拨款收入，也没有国有资本经营预算财政拨款安排的支出，故无数据情况说明</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p>
    <w:p w14:paraId="712073B2">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11E5E53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1EF20B9">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rPr>
        <w:t>六、财政拨款</w:t>
      </w:r>
      <w:r>
        <w:rPr>
          <w:rFonts w:hint="eastAsia" w:ascii="黑体" w:hAnsi="黑体" w:eastAsia="黑体" w:cs="仿宋_GB2312"/>
          <w:kern w:val="0"/>
          <w:sz w:val="32"/>
          <w:szCs w:val="32"/>
          <w:lang w:val="en-US" w:eastAsia="zh-CN"/>
        </w:rPr>
        <w:t>安排的</w:t>
      </w:r>
      <w:r>
        <w:rPr>
          <w:rFonts w:hint="eastAsia" w:ascii="黑体" w:hAnsi="黑体" w:eastAsia="黑体" w:cs="仿宋_GB2312"/>
          <w:kern w:val="0"/>
          <w:sz w:val="32"/>
          <w:szCs w:val="32"/>
        </w:rPr>
        <w:t>“三公”经费支出决算情况</w:t>
      </w:r>
      <w:r>
        <w:rPr>
          <w:rFonts w:hint="eastAsia" w:ascii="黑体" w:hAnsi="黑体" w:eastAsia="黑体" w:cs="仿宋_GB2312"/>
          <w:kern w:val="0"/>
          <w:sz w:val="32"/>
          <w:szCs w:val="32"/>
          <w:lang w:val="en-US" w:eastAsia="zh-CN"/>
        </w:rPr>
        <w:t>说明</w:t>
      </w:r>
    </w:p>
    <w:p w14:paraId="2847503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年度财政拨款</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安排的</w:t>
      </w:r>
      <w:r>
        <w:rPr>
          <w:rFonts w:hint="eastAsia" w:ascii="仿宋_GB2312" w:eastAsia="仿宋_GB2312" w:cs="仿宋_GB2312"/>
          <w:color w:val="000000" w:themeColor="text1"/>
          <w:kern w:val="0"/>
          <w:sz w:val="32"/>
          <w:szCs w:val="32"/>
          <w:u w:val="none"/>
          <w14:textFill>
            <w14:solidFill>
              <w14:schemeClr w14:val="tx1"/>
            </w14:solidFill>
          </w14:textFill>
        </w:rPr>
        <w:t>“三公”经费支出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年初</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olor w:val="000000" w:themeColor="text1"/>
          <w:kern w:val="0"/>
          <w:sz w:val="32"/>
          <w:szCs w:val="32"/>
          <w:u w:val="none"/>
          <w14:textFill>
            <w14:solidFill>
              <w14:schemeClr w14:val="tx1"/>
            </w14:solidFill>
          </w14:textFill>
        </w:rPr>
        <w:t>较2023年度决算数0万元，增加0万元，增长0%</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本年度严格贯彻落实中央八项规定精神和厉行节约要求，从严控制“三公”经费开支 。本年度无三公经费安排</w:t>
      </w:r>
      <w:r>
        <w:rPr>
          <w:rFonts w:hint="eastAsia" w:ascii="仿宋_GB2312" w:eastAsia="仿宋_GB2312" w:cs="仿宋_GB2312"/>
          <w:color w:val="000000" w:themeColor="text1"/>
          <w:kern w:val="0"/>
          <w:sz w:val="32"/>
          <w:szCs w:val="32"/>
          <w:u w:val="none"/>
          <w14:textFill>
            <w14:solidFill>
              <w14:schemeClr w14:val="tx1"/>
            </w14:solidFill>
          </w14:textFill>
        </w:rPr>
        <w:t>。其中：因公出国（境）费支出决算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万元，公务用车购置及运行费支出决算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万元，公务接待费支出决算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20EB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23AF56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（一）因公出国（境）费支出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完成年初预算的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%，比上年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增加0万元</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，原因是</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全年使用财政拨款安排</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百色市群众工作服务中心</w:t>
      </w:r>
      <w:r>
        <w:rPr>
          <w:rFonts w:hint="eastAsia" w:ascii="仿宋_GB2312" w:hAnsi="黑体" w:eastAsia="仿宋_GB2312"/>
          <w:bCs/>
          <w:color w:val="000000" w:themeColor="text1"/>
          <w:sz w:val="32"/>
          <w:szCs w:val="32"/>
          <w:u w:val="none"/>
          <w14:textFill>
            <w14:solidFill>
              <w14:schemeClr w14:val="tx1"/>
            </w14:solidFill>
          </w14:textFill>
        </w:rPr>
        <w:t>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个，参加其他单位组织的出国团组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w:t>
      </w:r>
      <w:r>
        <w:rPr>
          <w:rFonts w:hint="eastAsia" w:ascii="仿宋_GB2312" w:hAnsi="黑体" w:eastAsia="仿宋_GB2312"/>
          <w:bCs/>
          <w:color w:val="000000"/>
          <w:sz w:val="32"/>
          <w:szCs w:val="32"/>
        </w:rPr>
        <w:t>，全年因公出国（境）团组共计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个，累计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开支内容包括：</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本单位无开支内容</w:t>
      </w:r>
      <w:r>
        <w:rPr>
          <w:rFonts w:hint="eastAsia" w:ascii="仿宋_GB2312" w:hAnsi="黑体" w:eastAsia="仿宋_GB2312"/>
          <w:bCs/>
          <w:color w:val="000000" w:themeColor="text1"/>
          <w:sz w:val="32"/>
          <w:szCs w:val="32"/>
          <w:u w:val="none"/>
          <w14:textFill>
            <w14:solidFill>
              <w14:schemeClr w14:val="tx1"/>
            </w14:solidFill>
          </w14:textFill>
        </w:rPr>
        <w:t>。</w:t>
      </w:r>
    </w:p>
    <w:p w14:paraId="350B6637">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（二）公务用车购置及运行费支出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万元。其中：</w:t>
      </w:r>
    </w:p>
    <w:p w14:paraId="28ECCF7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公务用车购置支出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。购置了</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辆公务用车</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36D1549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公务用车运行支出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%，比</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。主要用于机要文件交换、市内因公出行以及开展业务所需车辆燃料费、维修费、过路过桥费、保险费等。</w:t>
      </w:r>
    </w:p>
    <w:p w14:paraId="42C60C5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百色市群众工作服务中心</w:t>
      </w:r>
      <w:r>
        <w:rPr>
          <w:rFonts w:hint="eastAsia" w:ascii="仿宋_GB2312" w:hAnsi="黑体" w:eastAsia="仿宋_GB2312"/>
          <w:bCs/>
          <w:color w:val="000000"/>
          <w:sz w:val="32"/>
          <w:szCs w:val="32"/>
        </w:rPr>
        <w:t>开支财政拨款的公务用车保有量为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辆，全年运行费支出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万元，平均每辆</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sz w:val="32"/>
          <w:szCs w:val="32"/>
        </w:rPr>
        <w:t>万元。</w:t>
      </w:r>
    </w:p>
    <w:p w14:paraId="7C5BF2C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3C3F225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kern w:val="0"/>
          <w:sz w:val="32"/>
          <w:szCs w:val="32"/>
        </w:rPr>
        <w:t>万元，</w:t>
      </w:r>
      <w:r>
        <w:rPr>
          <w:rFonts w:hint="eastAsia" w:ascii="仿宋_GB2312" w:eastAsia="仿宋_GB2312" w:cs="仿宋_GB2312"/>
          <w:color w:val="000000" w:themeColor="text1"/>
          <w:kern w:val="0"/>
          <w:sz w:val="32"/>
          <w:szCs w:val="32"/>
          <w:u w:val="none"/>
          <w14:textFill>
            <w14:solidFill>
              <w14:schemeClr w14:val="tx1"/>
            </w14:solidFill>
          </w14:textFill>
        </w:rPr>
        <w:t>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增加0万元，原因是</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国内公务接待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人次，国（境）外公务接待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675BA66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99ABA94">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10EB633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48B059B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年度机关运行经费支出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eastAsia="zh-CN"/>
        </w:rPr>
        <w:t>比年初预算数增长0万元</w:t>
      </w:r>
      <w:r>
        <w:rPr>
          <w:rFonts w:hint="eastAsia" w:ascii="仿宋_GB2312" w:eastAsia="仿宋_GB2312" w:cs="仿宋_GB2312"/>
          <w:kern w:val="0"/>
          <w:sz w:val="32"/>
          <w:szCs w:val="32"/>
          <w:lang w:val="en-US" w:eastAsia="zh-CN"/>
        </w:rPr>
        <w:t>，比上年</w:t>
      </w:r>
      <w:r>
        <w:rPr>
          <w:rFonts w:hint="eastAsia" w:ascii="仿宋_GB2312" w:eastAsia="仿宋_GB2312"/>
          <w:color w:val="000000" w:themeColor="text1"/>
          <w:kern w:val="0"/>
          <w:sz w:val="32"/>
          <w:szCs w:val="32"/>
          <w:u w:val="none"/>
          <w14:textFill>
            <w14:solidFill>
              <w14:schemeClr w14:val="tx1"/>
            </w14:solidFill>
          </w14:textFill>
        </w:rPr>
        <w:t>决算数0万元增加0万元</w:t>
      </w:r>
      <w:r>
        <w:rPr>
          <w:rFonts w:hint="eastAsia" w:ascii="仿宋_GB2312" w:eastAsia="仿宋_GB2312" w:cs="仿宋_GB2312"/>
          <w:kern w:val="0"/>
          <w:sz w:val="32"/>
          <w:szCs w:val="32"/>
          <w:lang w:val="en-US" w:eastAsia="zh-CN"/>
        </w:rPr>
        <w:t>，</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本部门为全额拨款事业单位，日常办公所需物资由上级部门统一采购，也无自行组织的会议、培训等活动，因此无机关运行经费相关支出，年初预算与实际决算保持一致，较上年也无变化</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C26F451">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14:paraId="588E9314">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1B0DFDF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年度政府采购支出总额</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万元，其中：政府采购货物支出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万元、政府采购工程支出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万元、政府采购服务支出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万元。授予中小企业合同金额</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万元，占政府采购支出总额的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rPr>
        <w:t>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rPr>
        <w:t>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hAnsi="Times New Roman" w:eastAsia="仿宋_GB2312" w:cs="仿宋_GB2312"/>
          <w:kern w:val="0"/>
          <w:sz w:val="32"/>
          <w:szCs w:val="32"/>
          <w:highlight w:val="none"/>
        </w:rPr>
        <w:t>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hAnsi="Times New Roman" w:eastAsia="仿宋_GB2312" w:cs="仿宋_GB2312"/>
          <w:kern w:val="0"/>
          <w:sz w:val="32"/>
          <w:szCs w:val="32"/>
          <w:highlight w:val="none"/>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hAnsi="Times New Roman" w:eastAsia="仿宋_GB2312" w:cs="仿宋_GB2312"/>
          <w:kern w:val="0"/>
          <w:sz w:val="32"/>
          <w:szCs w:val="32"/>
          <w:highlight w:val="none"/>
        </w:rPr>
        <w:t>0</w:t>
      </w:r>
      <w:r>
        <w:rPr>
          <w:rFonts w:hint="eastAsia" w:ascii="仿宋_GB2312" w:hAnsi="Times New Roman" w:eastAsia="仿宋_GB2312" w:cs="仿宋_GB2312"/>
          <w:kern w:val="0"/>
          <w:sz w:val="32"/>
          <w:szCs w:val="32"/>
          <w:highlight w:val="none"/>
        </w:rPr>
        <w:t>%。</w:t>
      </w:r>
    </w:p>
    <w:p w14:paraId="5ED2147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p>
    <w:p w14:paraId="06D85CB0">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u w:val="none"/>
          <w14:textFill>
            <w14:solidFill>
              <w14:schemeClr w14:val="tx1"/>
            </w14:solidFill>
          </w14:textFill>
        </w:rPr>
      </w:pPr>
      <w:r>
        <w:rPr>
          <w:rFonts w:hint="eastAsia" w:ascii="楷体_GB2312" w:eastAsia="楷体_GB2312" w:cs="仿宋_GB2312"/>
          <w:color w:val="000000" w:themeColor="text1"/>
          <w:kern w:val="0"/>
          <w:sz w:val="32"/>
          <w:szCs w:val="32"/>
          <w:u w:val="none"/>
          <w14:textFill>
            <w14:solidFill>
              <w14:schemeClr w14:val="tx1"/>
            </w14:solidFill>
          </w14:textFill>
        </w:rPr>
        <w:t>（三）国有资产占用情况说明</w:t>
      </w:r>
    </w:p>
    <w:p w14:paraId="4FA3FE35">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截至</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年12月31日，本部门共有车辆</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辆，其中：</w:t>
      </w:r>
      <w:r>
        <w:rPr>
          <w:rFonts w:hint="eastAsia" w:ascii="仿宋_GB2312" w:eastAsia="仿宋_GB2312"/>
          <w:color w:val="000000" w:themeColor="text1"/>
          <w:kern w:val="0"/>
          <w:sz w:val="32"/>
          <w:szCs w:val="32"/>
          <w:u w:val="none"/>
          <w:lang w:val="en-US" w:eastAsia="zh-CN"/>
          <w14:textFill>
            <w14:solidFill>
              <w14:schemeClr w14:val="tx1"/>
            </w14:solidFill>
          </w14:textFill>
        </w:rPr>
        <w:t>副部（省）级领导干部用车0辆、机要通信用车0辆、应急保障用车0辆、执法执勤用车0辆、特种专业技术用车0辆、其他用车0辆</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kern w:val="0"/>
          <w:sz w:val="32"/>
          <w:szCs w:val="32"/>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单位价值100万元以上设备(不含车辆)0台(套)</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33257F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59548ABD">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八</w:t>
      </w:r>
      <w:r>
        <w:rPr>
          <w:rFonts w:hint="eastAsia" w:ascii="黑体" w:hAnsi="黑体" w:eastAsia="黑体" w:cs="仿宋_GB2312"/>
          <w:kern w:val="0"/>
          <w:sz w:val="32"/>
          <w:szCs w:val="32"/>
        </w:rPr>
        <w:t>、预算绩效管理工作开展情况</w:t>
      </w:r>
    </w:p>
    <w:p w14:paraId="0BDE65E0">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1.整体支出绩效自评结果。</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48201C14">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本单位本年度未开展整体支出绩效自评。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xml:space="preserve">  </w:t>
      </w:r>
    </w:p>
    <w:p w14:paraId="032F430F">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2.项目支出绩效自评结果。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36CEE59D">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年度无项目支出，故未开展项目支出绩效自评。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5CFA71A8">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3.部门绩效评价结果。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6EF4521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年度无重点项目支出，故未开展部门绩效评价。</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1811A6F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4.财政绩效评价结果。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165F173F">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年度未开展财政绩效评价项目。</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2C77AA28">
      <w:pPr>
        <w:autoSpaceDE w:val="0"/>
        <w:autoSpaceDN w:val="0"/>
        <w:adjustRightInd w:val="0"/>
        <w:spacing w:line="560" w:lineRule="exact"/>
        <w:ind w:firstLine="5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ascii="Helvetica" w:hAnsi="Helvetica" w:eastAsia="Helvetica" w:cs="Helvetica"/>
          <w:i w:val="0"/>
          <w:iCs w:val="0"/>
          <w:caps w:val="0"/>
          <w:color w:val="303133"/>
          <w:spacing w:val="0"/>
          <w:sz w:val="27"/>
          <w:szCs w:val="27"/>
          <w:shd w:val="clear" w:fill="FFFFFF"/>
        </w:rPr>
        <w:t>（说明：八、预算绩效管理工作开展情况，资金统计口径均为财政资金。）</w:t>
      </w:r>
    </w:p>
    <w:p w14:paraId="79B943E9">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p>
    <w:p w14:paraId="2A65DCE5">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p>
    <w:p w14:paraId="365C4CA8">
      <w:pPr>
        <w:keepNext w:val="0"/>
        <w:keepLines w:val="0"/>
        <w:pageBreakBefore/>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0FF1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w:r>
      <w:r>
        <w:rPr>
          <w:rFonts w:hint="eastAsia" w:ascii="仿宋_GB2312" w:eastAsia="仿宋_GB2312"/>
          <w:sz w:val="32"/>
          <w:szCs w:val="32"/>
        </w:rPr>
        <w:t/>
      </w:r>
      <w:r>
        <w:rPr>
          <w:rFonts w:hint="eastAsia" w:ascii="仿宋_GB2312" w:eastAsia="仿宋_GB2312"/>
          <w:sz w:val="32"/>
          <w:szCs w:val="32"/>
          <w:lang w:val="en-US" w:eastAsia="zh-CN"/>
        </w:rPr>
        <w:t>一、 财政拨款收入</w:t>
      </w:r>
      <w:r>
        <w:rPr>
          <w:rFonts w:hint="eastAsia" w:ascii="仿宋_GB2312" w:eastAsia="仿宋_GB2312"/>
          <w:sz w:val="32"/>
          <w:szCs w:val="32"/>
        </w:rPr>
        <w:t>：</w:t>
      </w:r>
      <w:r>
        <w:rPr>
          <w:rFonts w:hint="eastAsia" w:ascii="仿宋_GB2312" w:eastAsia="仿宋_GB2312"/>
          <w:sz w:val="32"/>
          <w:szCs w:val="32"/>
          <w:lang w:val="en-US" w:eastAsia="zh-CN"/>
        </w:rPr>
        <w:t>指财政当年拨付的资金。包括一般公共预算财政拨款和政府性基金预算财政拨款</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二、 上级补助收入</w:t>
      </w:r>
      <w:r>
        <w:rPr>
          <w:rFonts w:hint="eastAsia" w:ascii="仿宋_GB2312" w:eastAsia="仿宋_GB2312"/>
          <w:sz w:val="32"/>
          <w:szCs w:val="32"/>
        </w:rPr>
        <w:t>：</w:t>
      </w:r>
      <w:r>
        <w:rPr>
          <w:rFonts w:hint="eastAsia" w:ascii="仿宋_GB2312" w:eastAsia="仿宋_GB2312"/>
          <w:sz w:val="32"/>
          <w:szCs w:val="32"/>
          <w:lang w:val="en-US" w:eastAsia="zh-CN"/>
        </w:rPr>
        <w:t>指事业单位从主管部门和上级单位取得的非财政补助收入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三、 事业收入</w:t>
      </w:r>
      <w:r>
        <w:rPr>
          <w:rFonts w:hint="eastAsia" w:ascii="仿宋_GB2312" w:eastAsia="仿宋_GB2312"/>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四、 经营收入</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五、 附属单位上缴收入</w:t>
      </w:r>
      <w:r>
        <w:rPr>
          <w:rFonts w:hint="eastAsia" w:ascii="仿宋_GB2312" w:eastAsia="仿宋_GB2312"/>
          <w:sz w:val="32"/>
          <w:szCs w:val="32"/>
        </w:rPr>
        <w:t>：</w:t>
      </w:r>
      <w:r>
        <w:rPr>
          <w:rFonts w:hint="eastAsia" w:ascii="仿宋_GB2312" w:eastAsia="仿宋_GB2312"/>
          <w:sz w:val="32"/>
          <w:szCs w:val="32"/>
          <w:lang w:val="en-US" w:eastAsia="zh-CN"/>
        </w:rPr>
        <w:t>指事业单位附属独立核算单位按照有关规定上缴的收入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六、 其他收入</w:t>
      </w:r>
      <w:r>
        <w:rPr>
          <w:rFonts w:hint="eastAsia" w:ascii="仿宋_GB2312" w:eastAsia="仿宋_GB2312"/>
          <w:sz w:val="32"/>
          <w:szCs w:val="32"/>
        </w:rPr>
        <w:t>：</w:t>
      </w:r>
      <w:r>
        <w:rPr>
          <w:rFonts w:hint="eastAsia" w:ascii="仿宋_GB2312" w:eastAsia="仿宋_GB2312"/>
          <w:sz w:val="32"/>
          <w:szCs w:val="32"/>
          <w:lang w:val="en-US" w:eastAsia="zh-CN"/>
        </w:rPr>
        <w:t>指除上述“财政拨款收入”、“事业收入”、“经营收入”等以外的收入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七、 使用非财政拨款结余（含专用结余）</w:t>
      </w:r>
      <w:r>
        <w:rPr>
          <w:rFonts w:hint="eastAsia" w:ascii="仿宋_GB2312" w:eastAsia="仿宋_GB2312"/>
          <w:sz w:val="32"/>
          <w:szCs w:val="32"/>
        </w:rPr>
        <w:t>：</w:t>
      </w:r>
      <w:r>
        <w:rPr>
          <w:rFonts w:hint="eastAsia" w:ascii="仿宋_GB2312" w:eastAsia="仿宋_GB2312"/>
          <w:sz w:val="32"/>
          <w:szCs w:val="32"/>
          <w:lang w:val="en-US" w:eastAsia="zh-CN"/>
        </w:rPr>
        <w:t>指事业单位在当年的“财政拨款收入”“事业收入”“经营收入”“其他收入”不足以安排当年支出的情况下，使用非财政拨款结余、专用结余弥补本年度收支缺口的资金。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八、 年初结转和结余</w:t>
      </w:r>
      <w:r>
        <w:rPr>
          <w:rFonts w:hint="eastAsia" w:ascii="仿宋_GB2312" w:eastAsia="仿宋_GB2312"/>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九、 结余分配</w:t>
      </w:r>
      <w:r>
        <w:rPr>
          <w:rFonts w:hint="eastAsia" w:ascii="仿宋_GB2312" w:eastAsia="仿宋_GB2312"/>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 年末结转和结余</w:t>
      </w:r>
      <w:r>
        <w:rPr>
          <w:rFonts w:hint="eastAsia" w:ascii="仿宋_GB2312" w:eastAsia="仿宋_GB2312"/>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十一、 基本支出</w:t>
      </w:r>
      <w:r>
        <w:rPr>
          <w:rFonts w:hint="eastAsia" w:ascii="仿宋_GB2312" w:eastAsia="仿宋_GB2312"/>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十二、 项目支出</w:t>
      </w:r>
      <w:r>
        <w:rPr>
          <w:rFonts w:hint="eastAsia" w:ascii="仿宋_GB2312" w:eastAsia="仿宋_GB2312"/>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十三、 经营支出</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十四、 “三公”经费</w:t>
      </w:r>
      <w:r>
        <w:rPr>
          <w:rFonts w:hint="eastAsia" w:ascii="仿宋_GB2312" w:eastAsia="仿宋_GB2312"/>
          <w:sz w:val="32"/>
          <w:szCs w:val="32"/>
        </w:rPr>
        <w:t>：</w:t>
      </w:r>
      <w:r>
        <w:rPr>
          <w:rFonts w:hint="eastAsia" w:ascii="仿宋_GB2312" w:eastAsia="仿宋_GB2312"/>
          <w:sz w:val="32"/>
          <w:szCs w:val="32"/>
          <w:lang w:val="en-US" w:eastAsia="zh-CN"/>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十五、 机关运行经费</w:t>
      </w:r>
      <w:r>
        <w:rPr>
          <w:rFonts w:hint="eastAsia" w:ascii="仿宋_GB2312" w:eastAsia="仿宋_GB2312"/>
          <w:sz w:val="32"/>
          <w:szCs w:val="32"/>
        </w:rPr>
        <w:t>：</w:t>
      </w:r>
      <w:r>
        <w:rPr>
          <w:rFonts w:hint="eastAsia" w:ascii="仿宋_GB2312" w:eastAsia="仿宋_GB2312"/>
          <w:sz w:val="32"/>
          <w:szCs w:val="32"/>
          <w:lang w:val="en-US"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rPr>
        <w:t xml:space="preserve"> </w:t>
      </w:r>
      <w:r>
        <w:rPr>
          <w:rFonts w:hint="eastAsia" w:ascii="仿宋_GB2312" w:eastAsia="仿宋_GB2312"/>
          <w:sz w:val="32"/>
          <w:szCs w:val="32"/>
        </w:rPr>
        <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7EFB">
    <w:pPr>
      <w:pStyle w:val="3"/>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p w14:paraId="14ED2A9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B187"/>
    <w:multiLevelType w:val="singleLevel"/>
    <w:tmpl w:val="E14AB187"/>
    <w:lvl w:ilvl="0" w:tentative="0">
      <w:start w:val="1"/>
      <w:numFmt w:val="chineseCounting"/>
      <w:suff w:val="nothing"/>
      <w:lvlText w:val="%1、"/>
      <w:lvlJc w:val="left"/>
      <w:rPr>
        <w:rFonts w:hint="eastAsia"/>
      </w:rPr>
    </w:lvl>
  </w:abstractNum>
  <w:abstractNum w:abstractNumId="51">
    <w:nsid w:val="68EC0125"/>
    <w:multiLevelType w:val="hybridMultilevel"/>
    <w:tmpl w:val="3D16D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43C52D43"/>
    <w:rsid w:val="00010E81"/>
    <w:rsid w:val="0002561E"/>
    <w:rsid w:val="00135135"/>
    <w:rsid w:val="002E6413"/>
    <w:rsid w:val="007007DA"/>
    <w:rsid w:val="00707F33"/>
    <w:rsid w:val="007C2913"/>
    <w:rsid w:val="00A162FA"/>
    <w:rsid w:val="00AA63FD"/>
    <w:rsid w:val="01115B19"/>
    <w:rsid w:val="012E3DA7"/>
    <w:rsid w:val="012F05BA"/>
    <w:rsid w:val="013D31BF"/>
    <w:rsid w:val="01415BB9"/>
    <w:rsid w:val="015679D0"/>
    <w:rsid w:val="016E3662"/>
    <w:rsid w:val="017045B1"/>
    <w:rsid w:val="017D4F5C"/>
    <w:rsid w:val="018B771C"/>
    <w:rsid w:val="019B3634"/>
    <w:rsid w:val="01A668EB"/>
    <w:rsid w:val="01AB5E64"/>
    <w:rsid w:val="01B86ED7"/>
    <w:rsid w:val="01D46B46"/>
    <w:rsid w:val="01FE25B0"/>
    <w:rsid w:val="0209060C"/>
    <w:rsid w:val="020B7DA2"/>
    <w:rsid w:val="02201D8C"/>
    <w:rsid w:val="023074CD"/>
    <w:rsid w:val="026B3EC6"/>
    <w:rsid w:val="027301CA"/>
    <w:rsid w:val="02BB56AA"/>
    <w:rsid w:val="02C261BE"/>
    <w:rsid w:val="02D84414"/>
    <w:rsid w:val="02DF57A3"/>
    <w:rsid w:val="03487E27"/>
    <w:rsid w:val="035D5B5C"/>
    <w:rsid w:val="03AF5F26"/>
    <w:rsid w:val="03BF6CEB"/>
    <w:rsid w:val="03C60A51"/>
    <w:rsid w:val="03CC5D60"/>
    <w:rsid w:val="03DC5407"/>
    <w:rsid w:val="03EE6B1B"/>
    <w:rsid w:val="04016404"/>
    <w:rsid w:val="040B175C"/>
    <w:rsid w:val="042711AF"/>
    <w:rsid w:val="0438050A"/>
    <w:rsid w:val="047719AE"/>
    <w:rsid w:val="04814D63"/>
    <w:rsid w:val="0495080F"/>
    <w:rsid w:val="04965F98"/>
    <w:rsid w:val="049D792E"/>
    <w:rsid w:val="04B13CD7"/>
    <w:rsid w:val="04DD5D12"/>
    <w:rsid w:val="04E9099E"/>
    <w:rsid w:val="04F719AE"/>
    <w:rsid w:val="052C2255"/>
    <w:rsid w:val="0532251D"/>
    <w:rsid w:val="054A784B"/>
    <w:rsid w:val="05573D16"/>
    <w:rsid w:val="055826A1"/>
    <w:rsid w:val="057934E9"/>
    <w:rsid w:val="059B4BE4"/>
    <w:rsid w:val="05A02329"/>
    <w:rsid w:val="05B9677F"/>
    <w:rsid w:val="05CA3483"/>
    <w:rsid w:val="060339F2"/>
    <w:rsid w:val="06582121"/>
    <w:rsid w:val="06823015"/>
    <w:rsid w:val="06AE5BB8"/>
    <w:rsid w:val="06B33DA4"/>
    <w:rsid w:val="06C453DB"/>
    <w:rsid w:val="06C47955"/>
    <w:rsid w:val="072C063C"/>
    <w:rsid w:val="073562D9"/>
    <w:rsid w:val="07372ED8"/>
    <w:rsid w:val="0747051C"/>
    <w:rsid w:val="078F14A4"/>
    <w:rsid w:val="07B16A20"/>
    <w:rsid w:val="07C426A9"/>
    <w:rsid w:val="07E66E24"/>
    <w:rsid w:val="07F4584C"/>
    <w:rsid w:val="08206D36"/>
    <w:rsid w:val="083D71F3"/>
    <w:rsid w:val="087A7D41"/>
    <w:rsid w:val="088E4BFF"/>
    <w:rsid w:val="08D538D0"/>
    <w:rsid w:val="08DB130C"/>
    <w:rsid w:val="08ED490B"/>
    <w:rsid w:val="08F75074"/>
    <w:rsid w:val="09194005"/>
    <w:rsid w:val="092071F9"/>
    <w:rsid w:val="095769B7"/>
    <w:rsid w:val="095D095C"/>
    <w:rsid w:val="09AF7E94"/>
    <w:rsid w:val="09B764CD"/>
    <w:rsid w:val="09E3602A"/>
    <w:rsid w:val="0A015732"/>
    <w:rsid w:val="0A163537"/>
    <w:rsid w:val="0A383B34"/>
    <w:rsid w:val="0A686182"/>
    <w:rsid w:val="0A7B2255"/>
    <w:rsid w:val="0AB34DE9"/>
    <w:rsid w:val="0ABD7DE4"/>
    <w:rsid w:val="0AEE0C79"/>
    <w:rsid w:val="0AEE531E"/>
    <w:rsid w:val="0B2C1995"/>
    <w:rsid w:val="0B35399D"/>
    <w:rsid w:val="0B472137"/>
    <w:rsid w:val="0B4C7FDE"/>
    <w:rsid w:val="0B8434E4"/>
    <w:rsid w:val="0B8571BE"/>
    <w:rsid w:val="0B8D3B7F"/>
    <w:rsid w:val="0B9A1D3A"/>
    <w:rsid w:val="0BA27521"/>
    <w:rsid w:val="0BA31A63"/>
    <w:rsid w:val="0BBE689D"/>
    <w:rsid w:val="0BC1319E"/>
    <w:rsid w:val="0BDA450C"/>
    <w:rsid w:val="0BE37D30"/>
    <w:rsid w:val="0BE77549"/>
    <w:rsid w:val="0BF80469"/>
    <w:rsid w:val="0C0B585A"/>
    <w:rsid w:val="0C1F040B"/>
    <w:rsid w:val="0C4A6CA2"/>
    <w:rsid w:val="0C5114BF"/>
    <w:rsid w:val="0C5A2393"/>
    <w:rsid w:val="0C6D3E1F"/>
    <w:rsid w:val="0C6D4FAE"/>
    <w:rsid w:val="0C714BEC"/>
    <w:rsid w:val="0C776B88"/>
    <w:rsid w:val="0CC367B2"/>
    <w:rsid w:val="0CD85FC9"/>
    <w:rsid w:val="0CE91C05"/>
    <w:rsid w:val="0CE93D0E"/>
    <w:rsid w:val="0D2B61B4"/>
    <w:rsid w:val="0D307327"/>
    <w:rsid w:val="0D3C2785"/>
    <w:rsid w:val="0D787EEA"/>
    <w:rsid w:val="0DBE2B84"/>
    <w:rsid w:val="0DD822A3"/>
    <w:rsid w:val="0DEE6D36"/>
    <w:rsid w:val="0E1C7020"/>
    <w:rsid w:val="0E4F1A2E"/>
    <w:rsid w:val="0E5E7EC3"/>
    <w:rsid w:val="0E7C7503"/>
    <w:rsid w:val="0E7D78A0"/>
    <w:rsid w:val="0E8A515C"/>
    <w:rsid w:val="0EBE4F5E"/>
    <w:rsid w:val="0EDA632A"/>
    <w:rsid w:val="0EF024FE"/>
    <w:rsid w:val="0F6A2898"/>
    <w:rsid w:val="0FA96160"/>
    <w:rsid w:val="0FB35595"/>
    <w:rsid w:val="0FC54879"/>
    <w:rsid w:val="105552F6"/>
    <w:rsid w:val="1068327B"/>
    <w:rsid w:val="107520D2"/>
    <w:rsid w:val="10805DFD"/>
    <w:rsid w:val="108A4FA0"/>
    <w:rsid w:val="109F7E5C"/>
    <w:rsid w:val="10AF0EAA"/>
    <w:rsid w:val="10D26947"/>
    <w:rsid w:val="110D1BEA"/>
    <w:rsid w:val="11810309"/>
    <w:rsid w:val="119B76A9"/>
    <w:rsid w:val="11D644D2"/>
    <w:rsid w:val="122E5C58"/>
    <w:rsid w:val="12364185"/>
    <w:rsid w:val="125C2FAD"/>
    <w:rsid w:val="126F08F1"/>
    <w:rsid w:val="128C6263"/>
    <w:rsid w:val="129B223C"/>
    <w:rsid w:val="12A7070B"/>
    <w:rsid w:val="12AC5656"/>
    <w:rsid w:val="12BA4BDF"/>
    <w:rsid w:val="12BC1CF4"/>
    <w:rsid w:val="12E84200"/>
    <w:rsid w:val="12F31522"/>
    <w:rsid w:val="13565587"/>
    <w:rsid w:val="139B74C4"/>
    <w:rsid w:val="13B4294C"/>
    <w:rsid w:val="13BE591A"/>
    <w:rsid w:val="13CE00F7"/>
    <w:rsid w:val="13F422E9"/>
    <w:rsid w:val="146752C6"/>
    <w:rsid w:val="14813160"/>
    <w:rsid w:val="14F66251"/>
    <w:rsid w:val="150115A9"/>
    <w:rsid w:val="151612A0"/>
    <w:rsid w:val="152F4368"/>
    <w:rsid w:val="15344AB2"/>
    <w:rsid w:val="154F0566"/>
    <w:rsid w:val="156D6DDB"/>
    <w:rsid w:val="15776D7E"/>
    <w:rsid w:val="1578635F"/>
    <w:rsid w:val="158C165B"/>
    <w:rsid w:val="15E43E63"/>
    <w:rsid w:val="15ED2535"/>
    <w:rsid w:val="15F4571E"/>
    <w:rsid w:val="15F67DF9"/>
    <w:rsid w:val="160063E8"/>
    <w:rsid w:val="16372750"/>
    <w:rsid w:val="16414353"/>
    <w:rsid w:val="166E6AA9"/>
    <w:rsid w:val="16724241"/>
    <w:rsid w:val="16726C02"/>
    <w:rsid w:val="169916C0"/>
    <w:rsid w:val="16A03CFC"/>
    <w:rsid w:val="16D74CB7"/>
    <w:rsid w:val="16DB75A3"/>
    <w:rsid w:val="17280D79"/>
    <w:rsid w:val="174B1EB0"/>
    <w:rsid w:val="17555BDC"/>
    <w:rsid w:val="177C2D88"/>
    <w:rsid w:val="178A1124"/>
    <w:rsid w:val="17962E57"/>
    <w:rsid w:val="17A27073"/>
    <w:rsid w:val="17B615F2"/>
    <w:rsid w:val="17B97D2D"/>
    <w:rsid w:val="17BB0135"/>
    <w:rsid w:val="17BC1379"/>
    <w:rsid w:val="187E1396"/>
    <w:rsid w:val="18A04183"/>
    <w:rsid w:val="18A478EF"/>
    <w:rsid w:val="18FA7BB9"/>
    <w:rsid w:val="191260DB"/>
    <w:rsid w:val="19306900"/>
    <w:rsid w:val="19533844"/>
    <w:rsid w:val="197954B1"/>
    <w:rsid w:val="197C57D0"/>
    <w:rsid w:val="19B2361F"/>
    <w:rsid w:val="19BA0041"/>
    <w:rsid w:val="19C11C13"/>
    <w:rsid w:val="1A0C7CBA"/>
    <w:rsid w:val="1A163D48"/>
    <w:rsid w:val="1A1A5AAF"/>
    <w:rsid w:val="1A1F0E4F"/>
    <w:rsid w:val="1A2152CC"/>
    <w:rsid w:val="1A2E5016"/>
    <w:rsid w:val="1A47417D"/>
    <w:rsid w:val="1AA53E85"/>
    <w:rsid w:val="1AE649FA"/>
    <w:rsid w:val="1AF0003A"/>
    <w:rsid w:val="1B1A1616"/>
    <w:rsid w:val="1B2D6E1C"/>
    <w:rsid w:val="1B4E0DFA"/>
    <w:rsid w:val="1B5A27E4"/>
    <w:rsid w:val="1B6D1746"/>
    <w:rsid w:val="1B6F5AA4"/>
    <w:rsid w:val="1B8C6F8D"/>
    <w:rsid w:val="1BAD1FB6"/>
    <w:rsid w:val="1BD51E46"/>
    <w:rsid w:val="1BF22A9C"/>
    <w:rsid w:val="1BFE4A94"/>
    <w:rsid w:val="1BFF7D06"/>
    <w:rsid w:val="1C4B5294"/>
    <w:rsid w:val="1C533ED4"/>
    <w:rsid w:val="1C6276B3"/>
    <w:rsid w:val="1C715266"/>
    <w:rsid w:val="1C9E7D80"/>
    <w:rsid w:val="1CAC2CDF"/>
    <w:rsid w:val="1CBF5FD1"/>
    <w:rsid w:val="1CF074F6"/>
    <w:rsid w:val="1CF547D5"/>
    <w:rsid w:val="1D266454"/>
    <w:rsid w:val="1D3A1AFC"/>
    <w:rsid w:val="1D6D3C7F"/>
    <w:rsid w:val="1DA9289F"/>
    <w:rsid w:val="1DCD7DF1"/>
    <w:rsid w:val="1DEB1048"/>
    <w:rsid w:val="1E124827"/>
    <w:rsid w:val="1E2D340E"/>
    <w:rsid w:val="1E326E83"/>
    <w:rsid w:val="1E6C2189"/>
    <w:rsid w:val="1E9E09B4"/>
    <w:rsid w:val="1EE74B5D"/>
    <w:rsid w:val="1EEB6B4A"/>
    <w:rsid w:val="1F0873A5"/>
    <w:rsid w:val="1F0F4909"/>
    <w:rsid w:val="1F1B56D7"/>
    <w:rsid w:val="1F223D2D"/>
    <w:rsid w:val="1F4A4E3E"/>
    <w:rsid w:val="1F5E41C7"/>
    <w:rsid w:val="1F680BA2"/>
    <w:rsid w:val="1F930968"/>
    <w:rsid w:val="1F941345"/>
    <w:rsid w:val="1FB8595E"/>
    <w:rsid w:val="1FBA45B5"/>
    <w:rsid w:val="1FFB0F80"/>
    <w:rsid w:val="20182CF3"/>
    <w:rsid w:val="20227499"/>
    <w:rsid w:val="202A013D"/>
    <w:rsid w:val="207D067D"/>
    <w:rsid w:val="208C0EFF"/>
    <w:rsid w:val="20AC2D10"/>
    <w:rsid w:val="20B03C3F"/>
    <w:rsid w:val="20BF730A"/>
    <w:rsid w:val="20E51F26"/>
    <w:rsid w:val="20F85F56"/>
    <w:rsid w:val="210927B1"/>
    <w:rsid w:val="212B5B5B"/>
    <w:rsid w:val="21433A85"/>
    <w:rsid w:val="214C2DDA"/>
    <w:rsid w:val="21681F34"/>
    <w:rsid w:val="216E7FC6"/>
    <w:rsid w:val="21A02A37"/>
    <w:rsid w:val="21A47E8B"/>
    <w:rsid w:val="21F0700C"/>
    <w:rsid w:val="220A24D6"/>
    <w:rsid w:val="22327245"/>
    <w:rsid w:val="223344B6"/>
    <w:rsid w:val="224B3750"/>
    <w:rsid w:val="225F27DF"/>
    <w:rsid w:val="227B67F6"/>
    <w:rsid w:val="229F18F8"/>
    <w:rsid w:val="22A45AE4"/>
    <w:rsid w:val="22D24584"/>
    <w:rsid w:val="232B2205"/>
    <w:rsid w:val="23A41DE6"/>
    <w:rsid w:val="23D3554D"/>
    <w:rsid w:val="23E427C1"/>
    <w:rsid w:val="2409256C"/>
    <w:rsid w:val="241C0626"/>
    <w:rsid w:val="241C2A34"/>
    <w:rsid w:val="242477DF"/>
    <w:rsid w:val="242B03F0"/>
    <w:rsid w:val="243454F7"/>
    <w:rsid w:val="24613E12"/>
    <w:rsid w:val="246635AB"/>
    <w:rsid w:val="24957EC4"/>
    <w:rsid w:val="24F904EE"/>
    <w:rsid w:val="25276E09"/>
    <w:rsid w:val="254369C1"/>
    <w:rsid w:val="256C2A6E"/>
    <w:rsid w:val="25965D3D"/>
    <w:rsid w:val="25F8467C"/>
    <w:rsid w:val="264C36E9"/>
    <w:rsid w:val="266C24B0"/>
    <w:rsid w:val="267A53F0"/>
    <w:rsid w:val="26A60202"/>
    <w:rsid w:val="26AA1D61"/>
    <w:rsid w:val="26C265FF"/>
    <w:rsid w:val="26DF6D44"/>
    <w:rsid w:val="27177155"/>
    <w:rsid w:val="271B0D2A"/>
    <w:rsid w:val="27315D1D"/>
    <w:rsid w:val="27402C58"/>
    <w:rsid w:val="27496543"/>
    <w:rsid w:val="275857D2"/>
    <w:rsid w:val="275D4004"/>
    <w:rsid w:val="276854B7"/>
    <w:rsid w:val="276F4A98"/>
    <w:rsid w:val="27812A47"/>
    <w:rsid w:val="2791259C"/>
    <w:rsid w:val="27A25F71"/>
    <w:rsid w:val="27AA28BA"/>
    <w:rsid w:val="27B32BD6"/>
    <w:rsid w:val="27FC557A"/>
    <w:rsid w:val="281401A9"/>
    <w:rsid w:val="281B7E32"/>
    <w:rsid w:val="28221B0A"/>
    <w:rsid w:val="282C05C3"/>
    <w:rsid w:val="284249A6"/>
    <w:rsid w:val="286640ED"/>
    <w:rsid w:val="28812CD5"/>
    <w:rsid w:val="28A11882"/>
    <w:rsid w:val="28A3748D"/>
    <w:rsid w:val="28C01A4F"/>
    <w:rsid w:val="291F33E2"/>
    <w:rsid w:val="29200519"/>
    <w:rsid w:val="29492507"/>
    <w:rsid w:val="297B5976"/>
    <w:rsid w:val="297E7214"/>
    <w:rsid w:val="298A7967"/>
    <w:rsid w:val="298F4ADE"/>
    <w:rsid w:val="2A0B7225"/>
    <w:rsid w:val="2A746B03"/>
    <w:rsid w:val="2A7E1274"/>
    <w:rsid w:val="2AB37773"/>
    <w:rsid w:val="2B05199B"/>
    <w:rsid w:val="2B1100AF"/>
    <w:rsid w:val="2B2D6440"/>
    <w:rsid w:val="2B4C52DF"/>
    <w:rsid w:val="2B69017C"/>
    <w:rsid w:val="2B7523B9"/>
    <w:rsid w:val="2B8F7987"/>
    <w:rsid w:val="2B964CE9"/>
    <w:rsid w:val="2BA333F6"/>
    <w:rsid w:val="2BC03938"/>
    <w:rsid w:val="2BC75853"/>
    <w:rsid w:val="2BD93356"/>
    <w:rsid w:val="2C123D8E"/>
    <w:rsid w:val="2C2B3683"/>
    <w:rsid w:val="2C470E04"/>
    <w:rsid w:val="2C4900D0"/>
    <w:rsid w:val="2CE81574"/>
    <w:rsid w:val="2CE850D0"/>
    <w:rsid w:val="2D261EB0"/>
    <w:rsid w:val="2D686296"/>
    <w:rsid w:val="2D7051AF"/>
    <w:rsid w:val="2D8C4DE1"/>
    <w:rsid w:val="2D92410E"/>
    <w:rsid w:val="2DBE4042"/>
    <w:rsid w:val="2DD24428"/>
    <w:rsid w:val="2DE05D6E"/>
    <w:rsid w:val="2DE43F6E"/>
    <w:rsid w:val="2DFF01E6"/>
    <w:rsid w:val="2E115F09"/>
    <w:rsid w:val="2E1E430F"/>
    <w:rsid w:val="2E220AB6"/>
    <w:rsid w:val="2E465066"/>
    <w:rsid w:val="2E497DF1"/>
    <w:rsid w:val="2E7F3812"/>
    <w:rsid w:val="2E864BA1"/>
    <w:rsid w:val="2E9D638E"/>
    <w:rsid w:val="2EA555A0"/>
    <w:rsid w:val="2EB61D8E"/>
    <w:rsid w:val="2EFD4BE1"/>
    <w:rsid w:val="2F14251F"/>
    <w:rsid w:val="2F153429"/>
    <w:rsid w:val="2F736F4A"/>
    <w:rsid w:val="2F746038"/>
    <w:rsid w:val="2F8310E0"/>
    <w:rsid w:val="2F990904"/>
    <w:rsid w:val="2FA626D5"/>
    <w:rsid w:val="2FBD0A96"/>
    <w:rsid w:val="2FD148A2"/>
    <w:rsid w:val="2FE9188B"/>
    <w:rsid w:val="2FEC7BE8"/>
    <w:rsid w:val="30111A3E"/>
    <w:rsid w:val="3011493E"/>
    <w:rsid w:val="30270569"/>
    <w:rsid w:val="308D68F9"/>
    <w:rsid w:val="30B654E5"/>
    <w:rsid w:val="30C61908"/>
    <w:rsid w:val="310C2637"/>
    <w:rsid w:val="311540EE"/>
    <w:rsid w:val="31197F4E"/>
    <w:rsid w:val="313C44F4"/>
    <w:rsid w:val="31902A80"/>
    <w:rsid w:val="31A57E60"/>
    <w:rsid w:val="31B00187"/>
    <w:rsid w:val="31DE2E01"/>
    <w:rsid w:val="31EF1C69"/>
    <w:rsid w:val="320E1E4A"/>
    <w:rsid w:val="32130E41"/>
    <w:rsid w:val="32140715"/>
    <w:rsid w:val="323D6CB6"/>
    <w:rsid w:val="324E1E79"/>
    <w:rsid w:val="327C2DF9"/>
    <w:rsid w:val="32843928"/>
    <w:rsid w:val="32892F54"/>
    <w:rsid w:val="32A46C22"/>
    <w:rsid w:val="32AC2D2D"/>
    <w:rsid w:val="32CB34CA"/>
    <w:rsid w:val="32FC1E3E"/>
    <w:rsid w:val="330649F0"/>
    <w:rsid w:val="334A3B6B"/>
    <w:rsid w:val="33615BDC"/>
    <w:rsid w:val="337D51D4"/>
    <w:rsid w:val="3382073E"/>
    <w:rsid w:val="338F2383"/>
    <w:rsid w:val="339B73BA"/>
    <w:rsid w:val="33B273BE"/>
    <w:rsid w:val="33FA57BF"/>
    <w:rsid w:val="340A6274"/>
    <w:rsid w:val="341474A9"/>
    <w:rsid w:val="34692557"/>
    <w:rsid w:val="346D4F1E"/>
    <w:rsid w:val="349560C4"/>
    <w:rsid w:val="34995945"/>
    <w:rsid w:val="34F3447D"/>
    <w:rsid w:val="351851AD"/>
    <w:rsid w:val="353510CF"/>
    <w:rsid w:val="35366BF5"/>
    <w:rsid w:val="353B6598"/>
    <w:rsid w:val="35563D07"/>
    <w:rsid w:val="35615290"/>
    <w:rsid w:val="35A3189F"/>
    <w:rsid w:val="35EF127D"/>
    <w:rsid w:val="35F04FF6"/>
    <w:rsid w:val="362F5494"/>
    <w:rsid w:val="363D46DF"/>
    <w:rsid w:val="36845C2B"/>
    <w:rsid w:val="36C562BB"/>
    <w:rsid w:val="36F728BE"/>
    <w:rsid w:val="36F759BD"/>
    <w:rsid w:val="370E1E30"/>
    <w:rsid w:val="37732382"/>
    <w:rsid w:val="378F2B62"/>
    <w:rsid w:val="379F77DE"/>
    <w:rsid w:val="37A1352A"/>
    <w:rsid w:val="37A4253C"/>
    <w:rsid w:val="37B4109C"/>
    <w:rsid w:val="37B41185"/>
    <w:rsid w:val="37F46F5A"/>
    <w:rsid w:val="381C0324"/>
    <w:rsid w:val="381D7DFB"/>
    <w:rsid w:val="38214FF8"/>
    <w:rsid w:val="38406806"/>
    <w:rsid w:val="384839A9"/>
    <w:rsid w:val="38602BAB"/>
    <w:rsid w:val="387C6AA6"/>
    <w:rsid w:val="38821335"/>
    <w:rsid w:val="38911C2B"/>
    <w:rsid w:val="38AE5EA4"/>
    <w:rsid w:val="38AF51A0"/>
    <w:rsid w:val="390E29BE"/>
    <w:rsid w:val="390E4110"/>
    <w:rsid w:val="39167469"/>
    <w:rsid w:val="39B12CEE"/>
    <w:rsid w:val="39B36A66"/>
    <w:rsid w:val="39BD13B3"/>
    <w:rsid w:val="39C57080"/>
    <w:rsid w:val="39DF151D"/>
    <w:rsid w:val="39E921CF"/>
    <w:rsid w:val="39FC5D14"/>
    <w:rsid w:val="3A103EB8"/>
    <w:rsid w:val="3A6E2AB6"/>
    <w:rsid w:val="3ACF5B21"/>
    <w:rsid w:val="3B2C4D22"/>
    <w:rsid w:val="3B2F58DB"/>
    <w:rsid w:val="3B304812"/>
    <w:rsid w:val="3B7469E9"/>
    <w:rsid w:val="3B79246C"/>
    <w:rsid w:val="3B862684"/>
    <w:rsid w:val="3BCC4052"/>
    <w:rsid w:val="3BEA5AC7"/>
    <w:rsid w:val="3BED218D"/>
    <w:rsid w:val="3BF11D50"/>
    <w:rsid w:val="3C06211F"/>
    <w:rsid w:val="3C220A84"/>
    <w:rsid w:val="3C4675C6"/>
    <w:rsid w:val="3C5C2972"/>
    <w:rsid w:val="3C642299"/>
    <w:rsid w:val="3CC3480E"/>
    <w:rsid w:val="3CC571DC"/>
    <w:rsid w:val="3D02319C"/>
    <w:rsid w:val="3D4C16AB"/>
    <w:rsid w:val="3D5B369C"/>
    <w:rsid w:val="3D5E4F3B"/>
    <w:rsid w:val="3DB53978"/>
    <w:rsid w:val="3DC254CA"/>
    <w:rsid w:val="3DCA4AF6"/>
    <w:rsid w:val="3DF86882"/>
    <w:rsid w:val="3E0151A6"/>
    <w:rsid w:val="3E0F7A99"/>
    <w:rsid w:val="3E296944"/>
    <w:rsid w:val="3E5720B6"/>
    <w:rsid w:val="3E682515"/>
    <w:rsid w:val="3E7F2C79"/>
    <w:rsid w:val="3E9079E7"/>
    <w:rsid w:val="3E990920"/>
    <w:rsid w:val="3EA00392"/>
    <w:rsid w:val="3EA2663A"/>
    <w:rsid w:val="3EB017C6"/>
    <w:rsid w:val="3EC3774B"/>
    <w:rsid w:val="3ED97F2B"/>
    <w:rsid w:val="3EDB7A0B"/>
    <w:rsid w:val="3EF968B3"/>
    <w:rsid w:val="3F10787C"/>
    <w:rsid w:val="3F1A3ADD"/>
    <w:rsid w:val="3F1E2CD4"/>
    <w:rsid w:val="3F201683"/>
    <w:rsid w:val="3F2A4975"/>
    <w:rsid w:val="3F3B673B"/>
    <w:rsid w:val="3F536D21"/>
    <w:rsid w:val="3F5758B3"/>
    <w:rsid w:val="3F666884"/>
    <w:rsid w:val="3F671B7C"/>
    <w:rsid w:val="3FC60617"/>
    <w:rsid w:val="3FCD655C"/>
    <w:rsid w:val="3FDD2A8F"/>
    <w:rsid w:val="4020731C"/>
    <w:rsid w:val="402713BD"/>
    <w:rsid w:val="403C77B5"/>
    <w:rsid w:val="4047615A"/>
    <w:rsid w:val="4049657B"/>
    <w:rsid w:val="40652D6D"/>
    <w:rsid w:val="407E6C67"/>
    <w:rsid w:val="40970E8F"/>
    <w:rsid w:val="409C0254"/>
    <w:rsid w:val="409F1576"/>
    <w:rsid w:val="40BD2555"/>
    <w:rsid w:val="40C94DC1"/>
    <w:rsid w:val="40CA6425"/>
    <w:rsid w:val="40FD6E0A"/>
    <w:rsid w:val="410F614C"/>
    <w:rsid w:val="412C2626"/>
    <w:rsid w:val="41456B3D"/>
    <w:rsid w:val="41907F6F"/>
    <w:rsid w:val="41A2540E"/>
    <w:rsid w:val="42026F12"/>
    <w:rsid w:val="42076D4A"/>
    <w:rsid w:val="421C47CA"/>
    <w:rsid w:val="422C3B2C"/>
    <w:rsid w:val="4230334A"/>
    <w:rsid w:val="423B57E3"/>
    <w:rsid w:val="424E596C"/>
    <w:rsid w:val="428B1E10"/>
    <w:rsid w:val="42BD7819"/>
    <w:rsid w:val="43036368"/>
    <w:rsid w:val="431A0DC5"/>
    <w:rsid w:val="43210EE4"/>
    <w:rsid w:val="432E51D9"/>
    <w:rsid w:val="432F3601"/>
    <w:rsid w:val="433507CA"/>
    <w:rsid w:val="4356655F"/>
    <w:rsid w:val="436A5D90"/>
    <w:rsid w:val="43886F2E"/>
    <w:rsid w:val="438C1801"/>
    <w:rsid w:val="4392593E"/>
    <w:rsid w:val="43C52D43"/>
    <w:rsid w:val="43EE6E45"/>
    <w:rsid w:val="442411A9"/>
    <w:rsid w:val="44255188"/>
    <w:rsid w:val="442A6534"/>
    <w:rsid w:val="442B68C5"/>
    <w:rsid w:val="44307631"/>
    <w:rsid w:val="44365A46"/>
    <w:rsid w:val="443D60F0"/>
    <w:rsid w:val="443E0524"/>
    <w:rsid w:val="447D6DF4"/>
    <w:rsid w:val="448D6D2F"/>
    <w:rsid w:val="44917FF6"/>
    <w:rsid w:val="44B93FF0"/>
    <w:rsid w:val="44F7014F"/>
    <w:rsid w:val="45013DB4"/>
    <w:rsid w:val="451D26E6"/>
    <w:rsid w:val="453942C3"/>
    <w:rsid w:val="458B1577"/>
    <w:rsid w:val="4596324C"/>
    <w:rsid w:val="45DB64C9"/>
    <w:rsid w:val="45DC4CF6"/>
    <w:rsid w:val="461940F5"/>
    <w:rsid w:val="4635683C"/>
    <w:rsid w:val="46380A1F"/>
    <w:rsid w:val="4665733A"/>
    <w:rsid w:val="467E645B"/>
    <w:rsid w:val="467F664E"/>
    <w:rsid w:val="4689127A"/>
    <w:rsid w:val="469A3487"/>
    <w:rsid w:val="469C3D1C"/>
    <w:rsid w:val="46A01E86"/>
    <w:rsid w:val="46A929C1"/>
    <w:rsid w:val="46C02D6F"/>
    <w:rsid w:val="46DB13AA"/>
    <w:rsid w:val="46E54919"/>
    <w:rsid w:val="47236CD6"/>
    <w:rsid w:val="47280A93"/>
    <w:rsid w:val="474F118D"/>
    <w:rsid w:val="476652AC"/>
    <w:rsid w:val="477B795A"/>
    <w:rsid w:val="47C66890"/>
    <w:rsid w:val="480162E7"/>
    <w:rsid w:val="480D1A37"/>
    <w:rsid w:val="48212909"/>
    <w:rsid w:val="483D7AE5"/>
    <w:rsid w:val="4863298F"/>
    <w:rsid w:val="48783354"/>
    <w:rsid w:val="488643AF"/>
    <w:rsid w:val="48952158"/>
    <w:rsid w:val="48A979B2"/>
    <w:rsid w:val="48CC544E"/>
    <w:rsid w:val="48D04F3E"/>
    <w:rsid w:val="48E6542C"/>
    <w:rsid w:val="48FB5D34"/>
    <w:rsid w:val="49003E49"/>
    <w:rsid w:val="49115557"/>
    <w:rsid w:val="49227764"/>
    <w:rsid w:val="492A2CC9"/>
    <w:rsid w:val="49437E06"/>
    <w:rsid w:val="495A4E17"/>
    <w:rsid w:val="496B655A"/>
    <w:rsid w:val="49757894"/>
    <w:rsid w:val="499802C4"/>
    <w:rsid w:val="49A625A2"/>
    <w:rsid w:val="49C60772"/>
    <w:rsid w:val="49E22621"/>
    <w:rsid w:val="4A05330E"/>
    <w:rsid w:val="4A235B57"/>
    <w:rsid w:val="4A2A68D0"/>
    <w:rsid w:val="4A323E08"/>
    <w:rsid w:val="4A3D4856"/>
    <w:rsid w:val="4A752F15"/>
    <w:rsid w:val="4A77763C"/>
    <w:rsid w:val="4A7D0020"/>
    <w:rsid w:val="4A7D29F1"/>
    <w:rsid w:val="4A9C28B5"/>
    <w:rsid w:val="4AAB4E1B"/>
    <w:rsid w:val="4AB32D6A"/>
    <w:rsid w:val="4AC83491"/>
    <w:rsid w:val="4AD51E9B"/>
    <w:rsid w:val="4ADF590D"/>
    <w:rsid w:val="4AE9678B"/>
    <w:rsid w:val="4AF066D0"/>
    <w:rsid w:val="4B2477C4"/>
    <w:rsid w:val="4B29302C"/>
    <w:rsid w:val="4B403D19"/>
    <w:rsid w:val="4B4E5778"/>
    <w:rsid w:val="4B5856BF"/>
    <w:rsid w:val="4B5945B2"/>
    <w:rsid w:val="4B7C16BB"/>
    <w:rsid w:val="4B7C595F"/>
    <w:rsid w:val="4B92526E"/>
    <w:rsid w:val="4B9B57C1"/>
    <w:rsid w:val="4BAB1C93"/>
    <w:rsid w:val="4BBB7216"/>
    <w:rsid w:val="4BC243CD"/>
    <w:rsid w:val="4BC62629"/>
    <w:rsid w:val="4BCB43DF"/>
    <w:rsid w:val="4BE96317"/>
    <w:rsid w:val="4BEF27F5"/>
    <w:rsid w:val="4C4579F1"/>
    <w:rsid w:val="4C5172F3"/>
    <w:rsid w:val="4C611DAD"/>
    <w:rsid w:val="4CDA2830"/>
    <w:rsid w:val="4CE15C9E"/>
    <w:rsid w:val="4CE23492"/>
    <w:rsid w:val="4CE40357"/>
    <w:rsid w:val="4CED3971"/>
    <w:rsid w:val="4CEF395A"/>
    <w:rsid w:val="4CFF5D93"/>
    <w:rsid w:val="4D0E072B"/>
    <w:rsid w:val="4D116F6B"/>
    <w:rsid w:val="4D127F16"/>
    <w:rsid w:val="4D8B2C92"/>
    <w:rsid w:val="4D8E53C8"/>
    <w:rsid w:val="4DB80AB6"/>
    <w:rsid w:val="4DCA7255"/>
    <w:rsid w:val="4DF30EDE"/>
    <w:rsid w:val="4E047438"/>
    <w:rsid w:val="4E1C19CD"/>
    <w:rsid w:val="4E395334"/>
    <w:rsid w:val="4E400C6D"/>
    <w:rsid w:val="4E48060E"/>
    <w:rsid w:val="4E583537"/>
    <w:rsid w:val="4E691967"/>
    <w:rsid w:val="4E6C395B"/>
    <w:rsid w:val="4E747862"/>
    <w:rsid w:val="4EC9465E"/>
    <w:rsid w:val="4ED432AF"/>
    <w:rsid w:val="4ED54882"/>
    <w:rsid w:val="4EF80279"/>
    <w:rsid w:val="4EFD0201"/>
    <w:rsid w:val="4F1D07B2"/>
    <w:rsid w:val="4F284742"/>
    <w:rsid w:val="4F651F0D"/>
    <w:rsid w:val="4F7F0524"/>
    <w:rsid w:val="4FEE1371"/>
    <w:rsid w:val="500470B0"/>
    <w:rsid w:val="50262A74"/>
    <w:rsid w:val="50324731"/>
    <w:rsid w:val="504A1081"/>
    <w:rsid w:val="5052092F"/>
    <w:rsid w:val="506936E2"/>
    <w:rsid w:val="5082349B"/>
    <w:rsid w:val="508B4A17"/>
    <w:rsid w:val="50A051F1"/>
    <w:rsid w:val="50E13983"/>
    <w:rsid w:val="50E61077"/>
    <w:rsid w:val="50ED4080"/>
    <w:rsid w:val="50F87728"/>
    <w:rsid w:val="51497D79"/>
    <w:rsid w:val="515F3303"/>
    <w:rsid w:val="516E3547"/>
    <w:rsid w:val="51756599"/>
    <w:rsid w:val="517D3BB6"/>
    <w:rsid w:val="518A6F8B"/>
    <w:rsid w:val="518E5997"/>
    <w:rsid w:val="519A433C"/>
    <w:rsid w:val="51AD7AEB"/>
    <w:rsid w:val="51DD4243"/>
    <w:rsid w:val="51E43ECB"/>
    <w:rsid w:val="51E45A84"/>
    <w:rsid w:val="51FE3331"/>
    <w:rsid w:val="52181704"/>
    <w:rsid w:val="52184834"/>
    <w:rsid w:val="52202E98"/>
    <w:rsid w:val="52483D98"/>
    <w:rsid w:val="52602A8C"/>
    <w:rsid w:val="52657AD4"/>
    <w:rsid w:val="526E128E"/>
    <w:rsid w:val="52727F85"/>
    <w:rsid w:val="528B0128"/>
    <w:rsid w:val="52A87A96"/>
    <w:rsid w:val="52AD092D"/>
    <w:rsid w:val="52B5767C"/>
    <w:rsid w:val="52EF06B7"/>
    <w:rsid w:val="530C3DAB"/>
    <w:rsid w:val="5337398A"/>
    <w:rsid w:val="537B2458"/>
    <w:rsid w:val="538E1C7E"/>
    <w:rsid w:val="53A2397B"/>
    <w:rsid w:val="53D131F1"/>
    <w:rsid w:val="53DB5480"/>
    <w:rsid w:val="54224ABC"/>
    <w:rsid w:val="542D5B65"/>
    <w:rsid w:val="5475225A"/>
    <w:rsid w:val="54B66C5E"/>
    <w:rsid w:val="54C65DA1"/>
    <w:rsid w:val="54FD1413"/>
    <w:rsid w:val="55204730"/>
    <w:rsid w:val="55632428"/>
    <w:rsid w:val="556A7548"/>
    <w:rsid w:val="557C0677"/>
    <w:rsid w:val="55F622FB"/>
    <w:rsid w:val="563167DC"/>
    <w:rsid w:val="56757D7F"/>
    <w:rsid w:val="56A877FD"/>
    <w:rsid w:val="56D27CC5"/>
    <w:rsid w:val="56FB1D20"/>
    <w:rsid w:val="56FC76C5"/>
    <w:rsid w:val="573B0F8F"/>
    <w:rsid w:val="575875CD"/>
    <w:rsid w:val="577708FE"/>
    <w:rsid w:val="57777405"/>
    <w:rsid w:val="579801F1"/>
    <w:rsid w:val="57A963FD"/>
    <w:rsid w:val="57F42380"/>
    <w:rsid w:val="583849FF"/>
    <w:rsid w:val="595D4065"/>
    <w:rsid w:val="59967ADE"/>
    <w:rsid w:val="59AE0721"/>
    <w:rsid w:val="59B60181"/>
    <w:rsid w:val="59DB1995"/>
    <w:rsid w:val="59E21B2F"/>
    <w:rsid w:val="5A015FC3"/>
    <w:rsid w:val="5A0507C0"/>
    <w:rsid w:val="5A061F53"/>
    <w:rsid w:val="5A0C5FF2"/>
    <w:rsid w:val="5A2A148F"/>
    <w:rsid w:val="5A617FBB"/>
    <w:rsid w:val="5A7019A2"/>
    <w:rsid w:val="5A7243DE"/>
    <w:rsid w:val="5A797AC8"/>
    <w:rsid w:val="5A8A41AF"/>
    <w:rsid w:val="5AA565F0"/>
    <w:rsid w:val="5AB11C4F"/>
    <w:rsid w:val="5AF768B4"/>
    <w:rsid w:val="5AFA409D"/>
    <w:rsid w:val="5B311D6D"/>
    <w:rsid w:val="5B372BFB"/>
    <w:rsid w:val="5B417F1E"/>
    <w:rsid w:val="5B594D76"/>
    <w:rsid w:val="5B5A267B"/>
    <w:rsid w:val="5B5C6B06"/>
    <w:rsid w:val="5B6133AD"/>
    <w:rsid w:val="5B665F9C"/>
    <w:rsid w:val="5B8147BE"/>
    <w:rsid w:val="5B8F47E5"/>
    <w:rsid w:val="5B9A4534"/>
    <w:rsid w:val="5BCB77E7"/>
    <w:rsid w:val="5BE52A9B"/>
    <w:rsid w:val="5BE72873"/>
    <w:rsid w:val="5BFB631F"/>
    <w:rsid w:val="5C166313"/>
    <w:rsid w:val="5C25339C"/>
    <w:rsid w:val="5C3A6591"/>
    <w:rsid w:val="5C45759A"/>
    <w:rsid w:val="5C9A2217"/>
    <w:rsid w:val="5CCC3817"/>
    <w:rsid w:val="5CDD41DD"/>
    <w:rsid w:val="5CE53096"/>
    <w:rsid w:val="5CF53766"/>
    <w:rsid w:val="5CFA31FE"/>
    <w:rsid w:val="5CFC234E"/>
    <w:rsid w:val="5D2378DB"/>
    <w:rsid w:val="5D2814E8"/>
    <w:rsid w:val="5D3D64C3"/>
    <w:rsid w:val="5D4D3739"/>
    <w:rsid w:val="5D7C3753"/>
    <w:rsid w:val="5D8C2B4C"/>
    <w:rsid w:val="5DD71459"/>
    <w:rsid w:val="5E9D3366"/>
    <w:rsid w:val="5EDB5293"/>
    <w:rsid w:val="5EE00E01"/>
    <w:rsid w:val="5EEC63F2"/>
    <w:rsid w:val="5EF02D0A"/>
    <w:rsid w:val="5F166152"/>
    <w:rsid w:val="5F250980"/>
    <w:rsid w:val="5F4051E8"/>
    <w:rsid w:val="5F441D8B"/>
    <w:rsid w:val="5F5733EF"/>
    <w:rsid w:val="5F5A47A5"/>
    <w:rsid w:val="5F6A27FA"/>
    <w:rsid w:val="5F7F1523"/>
    <w:rsid w:val="5F7F3BDC"/>
    <w:rsid w:val="5F9960A6"/>
    <w:rsid w:val="5FA267D3"/>
    <w:rsid w:val="5FB94EA3"/>
    <w:rsid w:val="5FD21FAE"/>
    <w:rsid w:val="5FD650D9"/>
    <w:rsid w:val="5FE21F51"/>
    <w:rsid w:val="60076309"/>
    <w:rsid w:val="602F6597"/>
    <w:rsid w:val="60630CB1"/>
    <w:rsid w:val="606352D7"/>
    <w:rsid w:val="60831B5C"/>
    <w:rsid w:val="609D1E74"/>
    <w:rsid w:val="60A25911"/>
    <w:rsid w:val="60A30D33"/>
    <w:rsid w:val="60A42D98"/>
    <w:rsid w:val="60AE1334"/>
    <w:rsid w:val="60B13B25"/>
    <w:rsid w:val="60CC438D"/>
    <w:rsid w:val="61080514"/>
    <w:rsid w:val="6142206D"/>
    <w:rsid w:val="614222FA"/>
    <w:rsid w:val="618D33CF"/>
    <w:rsid w:val="61BD42A9"/>
    <w:rsid w:val="6211064A"/>
    <w:rsid w:val="62141EE8"/>
    <w:rsid w:val="623330E6"/>
    <w:rsid w:val="623565D5"/>
    <w:rsid w:val="62796B4D"/>
    <w:rsid w:val="62854B94"/>
    <w:rsid w:val="629D25D8"/>
    <w:rsid w:val="62C05BCC"/>
    <w:rsid w:val="62FD4B17"/>
    <w:rsid w:val="62FE7C2F"/>
    <w:rsid w:val="63031C9E"/>
    <w:rsid w:val="632E4EFB"/>
    <w:rsid w:val="6331013D"/>
    <w:rsid w:val="633B165F"/>
    <w:rsid w:val="63473BF7"/>
    <w:rsid w:val="63474178"/>
    <w:rsid w:val="634B514E"/>
    <w:rsid w:val="634D7BCE"/>
    <w:rsid w:val="637D18D6"/>
    <w:rsid w:val="638E2B99"/>
    <w:rsid w:val="63D41B5E"/>
    <w:rsid w:val="63DA2CBD"/>
    <w:rsid w:val="63DE187D"/>
    <w:rsid w:val="63E91153"/>
    <w:rsid w:val="6422373F"/>
    <w:rsid w:val="64410F8F"/>
    <w:rsid w:val="644512B3"/>
    <w:rsid w:val="6449557A"/>
    <w:rsid w:val="64774815"/>
    <w:rsid w:val="64A93EF7"/>
    <w:rsid w:val="64CA2D32"/>
    <w:rsid w:val="64D9738F"/>
    <w:rsid w:val="65073EEF"/>
    <w:rsid w:val="651E6108"/>
    <w:rsid w:val="65247AA1"/>
    <w:rsid w:val="653F4269"/>
    <w:rsid w:val="654A79CF"/>
    <w:rsid w:val="6562740E"/>
    <w:rsid w:val="657E7F74"/>
    <w:rsid w:val="65B6750A"/>
    <w:rsid w:val="65D10CAC"/>
    <w:rsid w:val="662B2FDB"/>
    <w:rsid w:val="66375E3A"/>
    <w:rsid w:val="664173F5"/>
    <w:rsid w:val="66455EA4"/>
    <w:rsid w:val="666872B3"/>
    <w:rsid w:val="666B40A1"/>
    <w:rsid w:val="66912624"/>
    <w:rsid w:val="66C86279"/>
    <w:rsid w:val="66D84097"/>
    <w:rsid w:val="6727621A"/>
    <w:rsid w:val="672D5D3E"/>
    <w:rsid w:val="67320DEF"/>
    <w:rsid w:val="67694F1E"/>
    <w:rsid w:val="67874F0A"/>
    <w:rsid w:val="67917B37"/>
    <w:rsid w:val="67C35F3C"/>
    <w:rsid w:val="67D279F2"/>
    <w:rsid w:val="67E45BBA"/>
    <w:rsid w:val="67FC3B0F"/>
    <w:rsid w:val="680E2449"/>
    <w:rsid w:val="6844732F"/>
    <w:rsid w:val="686105B5"/>
    <w:rsid w:val="686F5878"/>
    <w:rsid w:val="68725BBA"/>
    <w:rsid w:val="68974C72"/>
    <w:rsid w:val="689B0646"/>
    <w:rsid w:val="68C15384"/>
    <w:rsid w:val="68C648EE"/>
    <w:rsid w:val="691D75BF"/>
    <w:rsid w:val="69381C01"/>
    <w:rsid w:val="69391100"/>
    <w:rsid w:val="699468D1"/>
    <w:rsid w:val="69D90F86"/>
    <w:rsid w:val="69DB32EB"/>
    <w:rsid w:val="69E06B54"/>
    <w:rsid w:val="69F83E9D"/>
    <w:rsid w:val="69FE2A0A"/>
    <w:rsid w:val="6A1E2D61"/>
    <w:rsid w:val="6A5A4B58"/>
    <w:rsid w:val="6A6409A3"/>
    <w:rsid w:val="6A794FDE"/>
    <w:rsid w:val="6A947E1D"/>
    <w:rsid w:val="6AA95198"/>
    <w:rsid w:val="6AB2229E"/>
    <w:rsid w:val="6ABC136F"/>
    <w:rsid w:val="6AC923B1"/>
    <w:rsid w:val="6AFE7291"/>
    <w:rsid w:val="6B31716A"/>
    <w:rsid w:val="6B637A3C"/>
    <w:rsid w:val="6B6A4927"/>
    <w:rsid w:val="6B6D2669"/>
    <w:rsid w:val="6BDC4BEC"/>
    <w:rsid w:val="6BE04BE9"/>
    <w:rsid w:val="6BEC6B68"/>
    <w:rsid w:val="6BFD39ED"/>
    <w:rsid w:val="6C16685D"/>
    <w:rsid w:val="6C1D7BEB"/>
    <w:rsid w:val="6C2B2308"/>
    <w:rsid w:val="6C3B62C3"/>
    <w:rsid w:val="6C476D95"/>
    <w:rsid w:val="6C5C6978"/>
    <w:rsid w:val="6CB26586"/>
    <w:rsid w:val="6CE02AFB"/>
    <w:rsid w:val="6CE626D3"/>
    <w:rsid w:val="6D0137F7"/>
    <w:rsid w:val="6D200DDE"/>
    <w:rsid w:val="6D21370B"/>
    <w:rsid w:val="6D3F1AC7"/>
    <w:rsid w:val="6D605FE2"/>
    <w:rsid w:val="6D655CEE"/>
    <w:rsid w:val="6D867EC7"/>
    <w:rsid w:val="6DD4629B"/>
    <w:rsid w:val="6DEA7FA1"/>
    <w:rsid w:val="6DEC0A05"/>
    <w:rsid w:val="6DFD7BD4"/>
    <w:rsid w:val="6DFE525B"/>
    <w:rsid w:val="6E033011"/>
    <w:rsid w:val="6E593CBE"/>
    <w:rsid w:val="6E62667D"/>
    <w:rsid w:val="6E627C54"/>
    <w:rsid w:val="6E6B2EFC"/>
    <w:rsid w:val="6F131AC6"/>
    <w:rsid w:val="6F1751E2"/>
    <w:rsid w:val="6F28639E"/>
    <w:rsid w:val="6F3367F3"/>
    <w:rsid w:val="6F551160"/>
    <w:rsid w:val="6F554417"/>
    <w:rsid w:val="6F7915DC"/>
    <w:rsid w:val="6FA046F1"/>
    <w:rsid w:val="6FC54864"/>
    <w:rsid w:val="6FCA2309"/>
    <w:rsid w:val="70052E70"/>
    <w:rsid w:val="706109F2"/>
    <w:rsid w:val="70693A8E"/>
    <w:rsid w:val="7083206A"/>
    <w:rsid w:val="709769DC"/>
    <w:rsid w:val="709C6413"/>
    <w:rsid w:val="70B84386"/>
    <w:rsid w:val="70D10DCC"/>
    <w:rsid w:val="70E22791"/>
    <w:rsid w:val="711772FF"/>
    <w:rsid w:val="7133710F"/>
    <w:rsid w:val="713C4E72"/>
    <w:rsid w:val="71566079"/>
    <w:rsid w:val="71593911"/>
    <w:rsid w:val="715A208E"/>
    <w:rsid w:val="7169409E"/>
    <w:rsid w:val="716C5A32"/>
    <w:rsid w:val="718D5DB5"/>
    <w:rsid w:val="71A1198F"/>
    <w:rsid w:val="71A97A99"/>
    <w:rsid w:val="71C20A11"/>
    <w:rsid w:val="71D277C6"/>
    <w:rsid w:val="71D51FF1"/>
    <w:rsid w:val="71E03B95"/>
    <w:rsid w:val="71E511AB"/>
    <w:rsid w:val="72035AD5"/>
    <w:rsid w:val="72175E17"/>
    <w:rsid w:val="721C004A"/>
    <w:rsid w:val="72323262"/>
    <w:rsid w:val="72464254"/>
    <w:rsid w:val="724C6BB5"/>
    <w:rsid w:val="72552CBE"/>
    <w:rsid w:val="726101B4"/>
    <w:rsid w:val="72614A63"/>
    <w:rsid w:val="72632BC2"/>
    <w:rsid w:val="72A2535C"/>
    <w:rsid w:val="72D40328"/>
    <w:rsid w:val="72E51C93"/>
    <w:rsid w:val="72ED5BF7"/>
    <w:rsid w:val="73075997"/>
    <w:rsid w:val="737427E7"/>
    <w:rsid w:val="73841D2D"/>
    <w:rsid w:val="73A74FC5"/>
    <w:rsid w:val="73BD78EE"/>
    <w:rsid w:val="73C13552"/>
    <w:rsid w:val="73DD48F4"/>
    <w:rsid w:val="73FB0445"/>
    <w:rsid w:val="7439421E"/>
    <w:rsid w:val="74404DBF"/>
    <w:rsid w:val="74D214FB"/>
    <w:rsid w:val="74EB2C86"/>
    <w:rsid w:val="74FB44DA"/>
    <w:rsid w:val="752D0050"/>
    <w:rsid w:val="752D5343"/>
    <w:rsid w:val="75482A22"/>
    <w:rsid w:val="75583702"/>
    <w:rsid w:val="75761A08"/>
    <w:rsid w:val="759C4277"/>
    <w:rsid w:val="75B3511C"/>
    <w:rsid w:val="75B80F22"/>
    <w:rsid w:val="75BF063E"/>
    <w:rsid w:val="75FB7ECD"/>
    <w:rsid w:val="763A7424"/>
    <w:rsid w:val="763E532E"/>
    <w:rsid w:val="76415A30"/>
    <w:rsid w:val="7657350F"/>
    <w:rsid w:val="765C4EF9"/>
    <w:rsid w:val="767C6CCA"/>
    <w:rsid w:val="768D6BDD"/>
    <w:rsid w:val="76B949B4"/>
    <w:rsid w:val="76C10199"/>
    <w:rsid w:val="76C30C21"/>
    <w:rsid w:val="76E94B77"/>
    <w:rsid w:val="77144843"/>
    <w:rsid w:val="772C11EB"/>
    <w:rsid w:val="7743318D"/>
    <w:rsid w:val="7745677A"/>
    <w:rsid w:val="77500D09"/>
    <w:rsid w:val="776038C5"/>
    <w:rsid w:val="776112D4"/>
    <w:rsid w:val="776E4DD9"/>
    <w:rsid w:val="777E7715"/>
    <w:rsid w:val="778A5E1B"/>
    <w:rsid w:val="77E21F42"/>
    <w:rsid w:val="77F4102D"/>
    <w:rsid w:val="77FC2DAB"/>
    <w:rsid w:val="781F38A5"/>
    <w:rsid w:val="78221AB3"/>
    <w:rsid w:val="782B0F7B"/>
    <w:rsid w:val="7855070D"/>
    <w:rsid w:val="78656BA2"/>
    <w:rsid w:val="789456D9"/>
    <w:rsid w:val="789B25C4"/>
    <w:rsid w:val="78BC1E15"/>
    <w:rsid w:val="78DD3874"/>
    <w:rsid w:val="78EA354B"/>
    <w:rsid w:val="78EA52F9"/>
    <w:rsid w:val="78EF290F"/>
    <w:rsid w:val="79222CE5"/>
    <w:rsid w:val="79461E30"/>
    <w:rsid w:val="794F33AE"/>
    <w:rsid w:val="7956298E"/>
    <w:rsid w:val="7962698E"/>
    <w:rsid w:val="796E7CD8"/>
    <w:rsid w:val="798D0404"/>
    <w:rsid w:val="79B250EE"/>
    <w:rsid w:val="79B25E17"/>
    <w:rsid w:val="79C2533B"/>
    <w:rsid w:val="79C930DE"/>
    <w:rsid w:val="79F4325F"/>
    <w:rsid w:val="7A0627C9"/>
    <w:rsid w:val="7A2860D9"/>
    <w:rsid w:val="7A2D1941"/>
    <w:rsid w:val="7A440956"/>
    <w:rsid w:val="7A5C2227"/>
    <w:rsid w:val="7A622905"/>
    <w:rsid w:val="7A7259A4"/>
    <w:rsid w:val="7A862E00"/>
    <w:rsid w:val="7A9279F6"/>
    <w:rsid w:val="7A97500D"/>
    <w:rsid w:val="7AB61937"/>
    <w:rsid w:val="7AB6395A"/>
    <w:rsid w:val="7ABD063B"/>
    <w:rsid w:val="7AD3592D"/>
    <w:rsid w:val="7AE244DA"/>
    <w:rsid w:val="7AE87C4C"/>
    <w:rsid w:val="7AF4245F"/>
    <w:rsid w:val="7B0306B3"/>
    <w:rsid w:val="7B113011"/>
    <w:rsid w:val="7B330BD4"/>
    <w:rsid w:val="7B4B01ED"/>
    <w:rsid w:val="7BB85132"/>
    <w:rsid w:val="7BC92567"/>
    <w:rsid w:val="7BD2272D"/>
    <w:rsid w:val="7BD60483"/>
    <w:rsid w:val="7BE85B30"/>
    <w:rsid w:val="7BEB4136"/>
    <w:rsid w:val="7C01581E"/>
    <w:rsid w:val="7C1F5441"/>
    <w:rsid w:val="7C357264"/>
    <w:rsid w:val="7C3945CD"/>
    <w:rsid w:val="7C5D6E8C"/>
    <w:rsid w:val="7C6B49A3"/>
    <w:rsid w:val="7C745605"/>
    <w:rsid w:val="7C7E2637"/>
    <w:rsid w:val="7C9644DA"/>
    <w:rsid w:val="7CEC2691"/>
    <w:rsid w:val="7CED2B42"/>
    <w:rsid w:val="7D0C1A12"/>
    <w:rsid w:val="7D2663EE"/>
    <w:rsid w:val="7D3354C1"/>
    <w:rsid w:val="7D392935"/>
    <w:rsid w:val="7D67516A"/>
    <w:rsid w:val="7D6C2781"/>
    <w:rsid w:val="7D7E4262"/>
    <w:rsid w:val="7D804DDE"/>
    <w:rsid w:val="7DA939D5"/>
    <w:rsid w:val="7DCF1BFE"/>
    <w:rsid w:val="7DE70B29"/>
    <w:rsid w:val="7E2B7BC1"/>
    <w:rsid w:val="7E37748C"/>
    <w:rsid w:val="7E467627"/>
    <w:rsid w:val="7E7D0F2F"/>
    <w:rsid w:val="7E8A55B4"/>
    <w:rsid w:val="7E8A5D41"/>
    <w:rsid w:val="7EB735F7"/>
    <w:rsid w:val="7EE1335E"/>
    <w:rsid w:val="7EE746E0"/>
    <w:rsid w:val="7EF234C0"/>
    <w:rsid w:val="7EFB00DD"/>
    <w:rsid w:val="7EFC18E2"/>
    <w:rsid w:val="7F0369E6"/>
    <w:rsid w:val="7F6B2453"/>
    <w:rsid w:val="7F8E5E9A"/>
    <w:rsid w:val="7FC1639D"/>
    <w:rsid w:val="7FDE68B9"/>
    <w:rsid w:val="7FE5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_rels/document.xml.rels><?xml version="1.0" encoding="UTF-8" standalone="yes"?><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2524</Words>
  <Characters>8239</Characters>
  <Lines>0</Lines>
  <Paragraphs>0</Paragraphs>
  <TotalTime>0</TotalTime>
  <ScaleCrop>false</ScaleCrop>
  <LinksUpToDate>false</LinksUpToDate>
  <CharactersWithSpaces>8419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2023-07-18T06:44:00Z</dcterms:created>
  <dc:creator>刘敏</dc:creator>
  <cp:lastModifiedBy>HP</cp:lastModifiedBy>
  <dcterms:modified xsi:type="dcterms:W3CDTF">2025-09-17T06:44:24Z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D47CD63191F0423D8EF335C02F7120F0_11</vt:lpwstr>
  </property>
  <property fmtid="{D5CDD505-2E9C-101B-9397-08002B2CF9AE}" pid="4" name="KSOTemplateDocerSaveRecord">
    <vt:lpwstr>eyJoZGlkIjoiYzU2YzViY2ExNGQzYmJhNDZiZDUxZjNiYmUyOTVmZDUifQ==</vt:lpwstr>
  </property>
</Properties>
</file>