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hAnsi="黑体" w:eastAsia="黑体" w:cs="黑体"/>
          <w:color w:val="auto"/>
          <w:kern w:val="0"/>
          <w:sz w:val="52"/>
          <w:szCs w:val="52"/>
        </w:rPr>
      </w:pPr>
      <w:r>
        <w:rPr>
          <w:rFonts w:hint="eastAsia" w:ascii="黑体" w:hAnsi="黑体" w:eastAsia="黑体" w:cs="黑体"/>
          <w:bCs/>
          <w:color w:val="auto"/>
          <w:sz w:val="52"/>
          <w:szCs w:val="52"/>
          <w:u w:val="single"/>
        </w:rPr>
        <w:t>中共百色市委员会百色市人民政府信访局（汇总）</w:t>
      </w:r>
      <w:r>
        <w:rPr>
          <w:rFonts w:ascii="黑体" w:hAnsi="黑体" w:eastAsia="黑体" w:cs="黑体"/>
          <w:color w:val="auto"/>
          <w:sz w:val="52"/>
          <w:u w:val="single" w:color="auto"/>
        </w:rPr>
        <w:t xml:space="preserve"> </w:t>
      </w:r>
      <w:r>
        <w:rPr>
          <w:rFonts w:hint="eastAsia" w:ascii="黑体" w:hAnsi="黑体" w:eastAsia="黑体" w:cs="黑体"/>
          <w:color w:val="auto"/>
          <w:kern w:val="0"/>
          <w:sz w:val="52"/>
          <w:szCs w:val="52"/>
        </w:rPr>
        <w:t>2022年度部门决算</w:t>
      </w:r>
    </w:p>
    <w:p>
      <w:pPr>
        <w:rPr>
          <w:rFonts w:ascii="方正小标宋简体" w:eastAsia="方正小标宋简体"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pStyle w:val="6"/>
        <w:widowControl/>
        <w:spacing w:before="196" w:beforeAutospacing="0" w:after="196" w:afterAutospacing="0" w:line="540" w:lineRule="atLeast"/>
        <w:ind w:firstLine="420"/>
        <w:jc w:val="both"/>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both"/>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both"/>
        <w:rPr>
          <w:rFonts w:ascii="Arial" w:hAnsi="Arial" w:eastAsia="微软雅黑" w:cs="Arial"/>
          <w:color w:val="auto"/>
          <w:shd w:val="clear" w:color="auto" w:fill="FFFFFF"/>
        </w:rPr>
      </w:pPr>
    </w:p>
    <w:p>
      <w:pPr>
        <w:ind w:firstLine="646"/>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目    录</w:t>
      </w:r>
    </w:p>
    <w:p>
      <w:pPr>
        <w:ind w:firstLine="645"/>
        <w:rPr>
          <w:rFonts w:ascii="仿宋_GB2312" w:eastAsia="仿宋_GB2312"/>
          <w:b/>
          <w:color w:val="auto"/>
          <w:sz w:val="32"/>
          <w:szCs w:val="32"/>
        </w:rPr>
      </w:pPr>
    </w:p>
    <w:p>
      <w:pPr>
        <w:ind w:firstLine="645"/>
        <w:rPr>
          <w:rFonts w:ascii="黑体" w:hAnsi="黑体" w:eastAsia="黑体"/>
          <w:color w:val="auto"/>
          <w:sz w:val="32"/>
          <w:szCs w:val="32"/>
        </w:rPr>
      </w:pPr>
      <w:r>
        <w:rPr>
          <w:rFonts w:hint="eastAsia" w:ascii="黑体" w:hAnsi="黑体" w:eastAsia="黑体"/>
          <w:color w:val="auto"/>
          <w:sz w:val="32"/>
          <w:szCs w:val="32"/>
        </w:rPr>
        <w:t>第一部分：</w:t>
      </w:r>
      <w:r>
        <w:rPr>
          <w:rFonts w:hint="eastAsia" w:ascii="黑体" w:hAnsi="黑体" w:eastAsia="黑体"/>
          <w:bCs/>
          <w:color w:val="auto"/>
          <w:sz w:val="32"/>
          <w:szCs w:val="32"/>
          <w:u w:val="single"/>
        </w:rPr>
        <w:t>中共百色市委员会百色市人民政府信访局（汇总）</w:t>
      </w:r>
      <w:r>
        <w:rPr>
          <w:rFonts w:hint="eastAsia" w:ascii="黑体" w:hAnsi="黑体" w:eastAsia="黑体"/>
          <w:color w:val="auto"/>
          <w:sz w:val="32"/>
          <w:szCs w:val="32"/>
        </w:rPr>
        <w:t>概况</w:t>
      </w:r>
    </w:p>
    <w:p>
      <w:pPr>
        <w:ind w:firstLine="645"/>
        <w:rPr>
          <w:rFonts w:hint="eastAsia" w:ascii="仿宋" w:hAnsi="仿宋" w:eastAsia="仿宋" w:cs="仿宋"/>
          <w:color w:val="auto"/>
          <w:sz w:val="32"/>
          <w:szCs w:val="32"/>
        </w:rPr>
      </w:pPr>
      <w:r>
        <w:rPr>
          <w:rFonts w:hint="eastAsia" w:ascii="仿宋" w:hAnsi="仿宋" w:eastAsia="仿宋" w:cs="仿宋"/>
          <w:color w:val="auto"/>
          <w:sz w:val="32"/>
          <w:szCs w:val="32"/>
        </w:rPr>
        <w:t>一、主要职能</w:t>
      </w:r>
    </w:p>
    <w:p>
      <w:pPr>
        <w:ind w:firstLine="645"/>
        <w:rPr>
          <w:rFonts w:ascii="仿宋_GB2312" w:eastAsia="仿宋_GB2312"/>
          <w:color w:val="auto"/>
          <w:sz w:val="32"/>
          <w:szCs w:val="32"/>
        </w:rPr>
      </w:pPr>
      <w:r>
        <w:rPr>
          <w:rFonts w:hint="eastAsia" w:ascii="仿宋" w:hAnsi="仿宋" w:eastAsia="仿宋" w:cs="仿宋"/>
          <w:color w:val="auto"/>
          <w:sz w:val="32"/>
          <w:szCs w:val="32"/>
        </w:rPr>
        <w:t>二、部门决算单位构成</w:t>
      </w:r>
    </w:p>
    <w:p>
      <w:pPr>
        <w:ind w:firstLine="645"/>
        <w:rPr>
          <w:rFonts w:ascii="黑体" w:hAnsi="黑体" w:eastAsia="黑体"/>
          <w:color w:val="auto"/>
          <w:sz w:val="32"/>
          <w:szCs w:val="32"/>
        </w:rPr>
      </w:pPr>
      <w:r>
        <w:rPr>
          <w:rFonts w:hint="eastAsia" w:ascii="黑体" w:hAnsi="黑体" w:eastAsia="黑体"/>
          <w:color w:val="auto"/>
          <w:sz w:val="32"/>
          <w:szCs w:val="32"/>
        </w:rPr>
        <w:t>第二部分：</w:t>
      </w:r>
      <w:r>
        <w:rPr>
          <w:rFonts w:hint="eastAsia" w:ascii="黑体" w:hAnsi="黑体" w:eastAsia="黑体"/>
          <w:bCs/>
          <w:color w:val="auto"/>
          <w:sz w:val="32"/>
          <w:szCs w:val="32"/>
          <w:u w:val="single"/>
        </w:rPr>
        <w:t>中共百色市委员会百色市人民政府信访局（汇总）</w:t>
      </w:r>
      <w:r>
        <w:rPr>
          <w:rFonts w:hint="eastAsia" w:ascii="黑体" w:hAnsi="黑体" w:eastAsia="黑体"/>
          <w:color w:val="auto"/>
          <w:sz w:val="32"/>
          <w:szCs w:val="32"/>
        </w:rPr>
        <w:t>2022年度部门决算报表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表一：收入支出决算总表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表二：收入决算表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表三：支出决算表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表四：财政拨款收入支出决算总表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表五：一般公共预算财政拨款支出决算表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表六：一般公共预算财政拨款基本支出决算明细表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表七：政府性基金预算财政拨款收入支出决算表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表八：国有资本经营预算财政拨款支出决算表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表九：一般公共预算财政拨款安排的“三公”经费支出决算表</w:t>
      </w:r>
    </w:p>
    <w:p>
      <w:pPr>
        <w:ind w:firstLine="645"/>
        <w:rPr>
          <w:rFonts w:ascii="黑体" w:hAnsi="黑体" w:eastAsia="黑体"/>
          <w:color w:val="auto"/>
          <w:sz w:val="32"/>
          <w:szCs w:val="32"/>
        </w:rPr>
      </w:pPr>
      <w:r>
        <w:rPr>
          <w:rFonts w:hint="eastAsia" w:ascii="黑体" w:hAnsi="黑体" w:eastAsia="黑体"/>
          <w:color w:val="auto"/>
          <w:sz w:val="32"/>
          <w:szCs w:val="32"/>
        </w:rPr>
        <w:t>第三部分：</w:t>
      </w:r>
      <w:r>
        <w:rPr>
          <w:rFonts w:hint="eastAsia" w:ascii="黑体" w:hAnsi="黑体" w:eastAsia="黑体"/>
          <w:bCs/>
          <w:color w:val="auto"/>
          <w:sz w:val="32"/>
          <w:szCs w:val="32"/>
          <w:u w:val="single"/>
        </w:rPr>
        <w:t>中共百色市委员会百色市人民政府信访局（汇总）</w:t>
      </w:r>
      <w:r>
        <w:rPr>
          <w:rFonts w:hint="eastAsia" w:ascii="黑体" w:hAnsi="黑体" w:eastAsia="黑体"/>
          <w:color w:val="auto"/>
          <w:sz w:val="32"/>
          <w:szCs w:val="32"/>
        </w:rPr>
        <w:t>2022年度部门决算情况说明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一、2022年度收入支出决算总体情况。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二、2022年度</w:t>
      </w:r>
      <w:r>
        <w:rPr>
          <w:rFonts w:hint="eastAsia" w:ascii="仿宋" w:hAnsi="仿宋" w:eastAsia="仿宋" w:cs="仿宋"/>
          <w:color w:val="auto"/>
          <w:sz w:val="32"/>
          <w:szCs w:val="32"/>
        </w:rPr>
        <w:t>一般</w:t>
      </w:r>
      <w:r>
        <w:rPr>
          <w:rFonts w:hint="eastAsia" w:ascii="仿宋" w:hAnsi="仿宋" w:eastAsia="仿宋" w:cs="仿宋"/>
          <w:color w:val="auto"/>
          <w:kern w:val="0"/>
          <w:sz w:val="32"/>
          <w:szCs w:val="32"/>
        </w:rPr>
        <w:t>公共预算财政拨款支出决算情况。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三、2022年度一般公共预算财政拨款基本支出决算情况说明。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四、2022年度政府性基金支出决算情况。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五、2022年度国有资本经营预算支出决算情况。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六、</w:t>
      </w:r>
      <w:r>
        <w:rPr>
          <w:rFonts w:hint="eastAsia" w:ascii="仿宋" w:hAnsi="仿宋" w:eastAsia="仿宋" w:cs="仿宋"/>
          <w:color w:val="auto"/>
          <w:sz w:val="32"/>
          <w:szCs w:val="32"/>
        </w:rPr>
        <w:t>一般</w:t>
      </w:r>
      <w:r>
        <w:rPr>
          <w:rFonts w:hint="eastAsia" w:ascii="仿宋" w:hAnsi="仿宋" w:eastAsia="仿宋" w:cs="仿宋"/>
          <w:color w:val="auto"/>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七、其他重要事项情况说明。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八、预算绩效管理工作开展情况。</w:t>
      </w:r>
    </w:p>
    <w:p>
      <w:pPr>
        <w:ind w:firstLine="645"/>
        <w:rPr>
          <w:rFonts w:ascii="黑体" w:hAnsi="黑体" w:eastAsia="黑体"/>
          <w:color w:val="auto"/>
          <w:sz w:val="32"/>
          <w:szCs w:val="32"/>
        </w:rPr>
      </w:pPr>
      <w:r>
        <w:rPr>
          <w:rFonts w:ascii="黑体" w:hAnsi="黑体" w:eastAsia="黑体"/>
          <w:color w:val="auto"/>
          <w:sz w:val="32"/>
          <w:szCs w:val="32"/>
        </w:rPr>
        <w:t>第四部分:名词解释</w:t>
      </w: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ind w:firstLine="646"/>
        <w:jc w:val="center"/>
        <w:rPr>
          <w:rFonts w:ascii="黑体" w:hAnsi="黑体" w:eastAsia="黑体"/>
          <w:color w:val="auto"/>
          <w:sz w:val="32"/>
          <w:szCs w:val="32"/>
        </w:rPr>
      </w:pPr>
      <w:r>
        <w:rPr>
          <w:rFonts w:hint="eastAsia" w:ascii="黑体" w:hAnsi="黑体" w:eastAsia="黑体"/>
          <w:color w:val="auto"/>
          <w:sz w:val="32"/>
          <w:szCs w:val="32"/>
        </w:rPr>
        <w:t>第一部分：</w:t>
      </w:r>
      <w:r>
        <w:rPr>
          <w:rFonts w:hint="eastAsia" w:ascii="黑体" w:hAnsi="黑体" w:eastAsia="黑体"/>
          <w:bCs/>
          <w:color w:val="auto"/>
          <w:sz w:val="32"/>
          <w:szCs w:val="32"/>
          <w:u w:val="single"/>
        </w:rPr>
        <w:t>中共百色市委员会百色市人民政府信访局（汇总）</w:t>
      </w:r>
      <w:r>
        <w:rPr>
          <w:rFonts w:hint="eastAsia" w:ascii="黑体" w:hAnsi="黑体" w:eastAsia="黑体"/>
          <w:bCs/>
          <w:color w:val="auto"/>
          <w:sz w:val="32"/>
          <w:szCs w:val="32"/>
        </w:rPr>
        <w:t>（</w:t>
      </w:r>
      <w:r>
        <w:rPr>
          <w:rFonts w:hint="eastAsia" w:ascii="黑体" w:hAnsi="黑体" w:eastAsia="黑体"/>
          <w:color w:val="auto"/>
          <w:sz w:val="32"/>
          <w:szCs w:val="32"/>
        </w:rPr>
        <w:t>概况</w:t>
      </w:r>
    </w:p>
    <w:p>
      <w:pPr>
        <w:ind w:firstLine="646"/>
        <w:rPr>
          <w:rFonts w:ascii="黑体" w:hAnsi="黑体" w:eastAsia="黑体"/>
          <w:color w:val="auto"/>
          <w:sz w:val="32"/>
          <w:szCs w:val="32"/>
        </w:rPr>
      </w:pPr>
      <w:r>
        <w:rPr>
          <w:rFonts w:hint="eastAsia" w:ascii="黑体" w:hAnsi="黑体" w:eastAsia="黑体"/>
          <w:color w:val="auto"/>
          <w:sz w:val="32"/>
          <w:szCs w:val="32"/>
        </w:rPr>
        <w:t>一、主要职能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baseline"/>
        <w:rPr>
          <w:rFonts w:ascii="微软雅黑" w:hAnsi="微软雅黑" w:eastAsia="微软雅黑" w:cs="微软雅黑"/>
          <w:i w:val="0"/>
          <w:iCs w:val="0"/>
          <w:caps w:val="0"/>
          <w:color w:val="auto"/>
          <w:spacing w:val="0"/>
          <w:sz w:val="27"/>
          <w:szCs w:val="27"/>
        </w:rPr>
      </w:pPr>
      <w:r>
        <w:rPr>
          <w:rStyle w:val="9"/>
          <w:rFonts w:hint="eastAsia" w:ascii="宋体" w:hAnsi="宋体" w:eastAsia="宋体" w:cs="宋体"/>
          <w:b/>
          <w:bCs/>
          <w:i w:val="0"/>
          <w:iCs w:val="0"/>
          <w:caps w:val="0"/>
          <w:color w:val="auto"/>
          <w:spacing w:val="0"/>
          <w:sz w:val="31"/>
          <w:szCs w:val="31"/>
          <w:shd w:val="clear" w:fill="FFFFFF"/>
          <w:vertAlign w:val="baseline"/>
          <w:lang w:eastAsia="zh-CN"/>
        </w:rPr>
        <w:t>（</w:t>
      </w:r>
      <w:r>
        <w:rPr>
          <w:rStyle w:val="9"/>
          <w:rFonts w:hint="eastAsia" w:ascii="宋体" w:hAnsi="宋体" w:eastAsia="宋体" w:cs="宋体"/>
          <w:b/>
          <w:bCs/>
          <w:i w:val="0"/>
          <w:iCs w:val="0"/>
          <w:caps w:val="0"/>
          <w:color w:val="auto"/>
          <w:spacing w:val="0"/>
          <w:sz w:val="31"/>
          <w:szCs w:val="31"/>
          <w:shd w:val="clear" w:fill="FFFFFF"/>
          <w:vertAlign w:val="baseline"/>
        </w:rPr>
        <w:t>一</w:t>
      </w:r>
      <w:r>
        <w:rPr>
          <w:rStyle w:val="9"/>
          <w:rFonts w:hint="eastAsia" w:ascii="宋体" w:hAnsi="宋体" w:eastAsia="宋体" w:cs="宋体"/>
          <w:b/>
          <w:bCs/>
          <w:i w:val="0"/>
          <w:iCs w:val="0"/>
          <w:caps w:val="0"/>
          <w:color w:val="auto"/>
          <w:spacing w:val="0"/>
          <w:sz w:val="31"/>
          <w:szCs w:val="31"/>
          <w:shd w:val="clear" w:fill="FFFFFF"/>
          <w:vertAlign w:val="baseline"/>
          <w:lang w:eastAsia="zh-CN"/>
        </w:rPr>
        <w:t>）</w:t>
      </w:r>
      <w:r>
        <w:rPr>
          <w:rStyle w:val="9"/>
          <w:rFonts w:hint="eastAsia" w:ascii="宋体" w:hAnsi="宋体" w:eastAsia="宋体" w:cs="宋体"/>
          <w:b/>
          <w:bCs/>
          <w:i w:val="0"/>
          <w:iCs w:val="0"/>
          <w:caps w:val="0"/>
          <w:color w:val="auto"/>
          <w:spacing w:val="0"/>
          <w:sz w:val="31"/>
          <w:szCs w:val="31"/>
          <w:shd w:val="clear" w:fill="FFFFFF"/>
          <w:vertAlign w:val="baseline"/>
        </w:rPr>
        <w:t>主要职能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1、负责处理人民群众及港澳台、境外人士、法人及其他组织通过信访渠道给市委、市人民政府及领导同志的来信来电、接待来访、网上信访投诉。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2、承办市委、市人民政府及上级信访部门领导同志批示交办的信访事项；负责向各县（市、区）和市直各有关单位转办、交办、移送信访事项，督促检查信访事项办理落实情况和领导同志信访批示件落实情况。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3、负责向市委、市人民政府反映群众来信来电来访中提出的重要建议、意见和问题，综合研判信访信息；组织实施信访矛盾纠纷排查化解工作；开展调查研究，提出解决问题、完善政策法规和改进工作的意见和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4、负责综合协调、指导全市信访工作，推动各级党委、政府关于信访工作决策部署的贯彻落实；起草有关信访工作制度；对市委拟提拔任用干部提出信访履职鉴定意见；对信访事项办理过程中存在的问题和不足，提出改进工作和信访责任追究的意见和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5、承担市人民政府负责的信访事项复查复核日常工作、指导复杂疑难信访事项的听证及信访终结工作。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6、承担市信访工作联席会议的日常工作，督促落实联席会议决定的事项。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1"/>
          <w:szCs w:val="31"/>
          <w:shd w:val="clear" w:fill="FFFFFF"/>
          <w:vertAlign w:val="baseline"/>
        </w:rPr>
        <w:t>7、组织全市信访工作的经验交流、总结推广和理论研究；负责指导全市信访信息系统建设应用、组织信访工作干部的教育培训；负责全市信访工作的宣传及信息发布工作。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baseline"/>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aps w:val="0"/>
          <w:color w:val="auto"/>
          <w:spacing w:val="0"/>
          <w:sz w:val="31"/>
          <w:szCs w:val="31"/>
          <w:shd w:val="clear" w:fill="FFFFFF"/>
          <w:vertAlign w:val="baseline"/>
        </w:rPr>
        <w:t>8、完成市委、市人民政府交办的其他事项。</w:t>
      </w:r>
    </w:p>
    <w:p>
      <w:pPr>
        <w:ind w:firstLine="646"/>
        <w:rPr>
          <w:rFonts w:ascii="黑体" w:hAnsi="黑体" w:eastAsia="黑体"/>
          <w:color w:val="auto"/>
          <w:sz w:val="32"/>
          <w:szCs w:val="32"/>
        </w:rPr>
      </w:pPr>
      <w:r>
        <w:rPr>
          <w:rFonts w:hint="eastAsia" w:ascii="黑体" w:hAnsi="黑体" w:eastAsia="黑体"/>
          <w:color w:val="auto"/>
          <w:sz w:val="32"/>
          <w:szCs w:val="32"/>
          <w:lang w:eastAsia="zh-CN"/>
        </w:rPr>
        <w:t>（</w:t>
      </w:r>
      <w:r>
        <w:rPr>
          <w:rFonts w:hint="eastAsia" w:ascii="黑体" w:hAnsi="黑体" w:eastAsia="黑体"/>
          <w:color w:val="auto"/>
          <w:sz w:val="32"/>
          <w:szCs w:val="32"/>
        </w:rPr>
        <w:t>二</w:t>
      </w:r>
      <w:r>
        <w:rPr>
          <w:rFonts w:hint="eastAsia" w:ascii="黑体" w:hAnsi="黑体" w:eastAsia="黑体"/>
          <w:color w:val="auto"/>
          <w:sz w:val="32"/>
          <w:szCs w:val="32"/>
          <w:lang w:eastAsia="zh-CN"/>
        </w:rPr>
        <w:t>）</w:t>
      </w:r>
      <w:r>
        <w:rPr>
          <w:rFonts w:hint="eastAsia" w:ascii="黑体" w:hAnsi="黑体" w:eastAsia="黑体"/>
          <w:color w:val="auto"/>
          <w:sz w:val="32"/>
          <w:szCs w:val="32"/>
        </w:rPr>
        <w:t>部门决算单位构成</w:t>
      </w:r>
    </w:p>
    <w:p>
      <w:pPr>
        <w:ind w:firstLine="645"/>
        <w:rPr>
          <w:rFonts w:hint="eastAsia" w:ascii="宋体" w:hAnsi="宋体" w:eastAsia="宋体" w:cs="宋体"/>
          <w:i w:val="0"/>
          <w:iCs w:val="0"/>
          <w:caps w:val="0"/>
          <w:color w:val="auto"/>
          <w:spacing w:val="0"/>
          <w:sz w:val="31"/>
          <w:szCs w:val="31"/>
          <w:shd w:val="clear" w:fill="FFFFFF"/>
          <w:vertAlign w:val="baseline"/>
          <w:lang w:val="en-US" w:eastAsia="zh-CN"/>
        </w:rPr>
      </w:pPr>
      <w:r>
        <w:rPr>
          <w:rFonts w:hint="eastAsia" w:ascii="宋体" w:hAnsi="宋体" w:eastAsia="宋体" w:cs="宋体"/>
          <w:i w:val="0"/>
          <w:iCs w:val="0"/>
          <w:caps w:val="0"/>
          <w:color w:val="auto"/>
          <w:spacing w:val="0"/>
          <w:sz w:val="31"/>
          <w:szCs w:val="31"/>
          <w:shd w:val="clear" w:fill="FFFFFF"/>
          <w:vertAlign w:val="baseline"/>
          <w:lang w:val="en-US" w:eastAsia="zh-CN"/>
        </w:rPr>
        <w:t>中共百色市委员会百色</w:t>
      </w:r>
      <w:r>
        <w:rPr>
          <w:rFonts w:hint="eastAsia" w:ascii="宋体" w:hAnsi="宋体" w:eastAsia="宋体" w:cs="宋体"/>
          <w:i w:val="0"/>
          <w:iCs w:val="0"/>
          <w:caps w:val="0"/>
          <w:color w:val="auto"/>
          <w:spacing w:val="0"/>
          <w:sz w:val="31"/>
          <w:szCs w:val="31"/>
          <w:shd w:val="clear" w:fill="FFFFFF"/>
          <w:vertAlign w:val="baseline"/>
        </w:rPr>
        <w:t>市人民政府信访局</w:t>
      </w:r>
      <w:r>
        <w:rPr>
          <w:rFonts w:hint="eastAsia" w:ascii="宋体" w:hAnsi="宋体" w:eastAsia="宋体" w:cs="宋体"/>
          <w:i w:val="0"/>
          <w:iCs w:val="0"/>
          <w:caps w:val="0"/>
          <w:color w:val="auto"/>
          <w:spacing w:val="0"/>
          <w:sz w:val="31"/>
          <w:szCs w:val="31"/>
          <w:shd w:val="clear" w:fill="FFFFFF"/>
          <w:vertAlign w:val="baseline"/>
          <w:lang w:eastAsia="zh-CN"/>
        </w:rPr>
        <w:t>（</w:t>
      </w:r>
      <w:r>
        <w:rPr>
          <w:rFonts w:hint="eastAsia" w:ascii="宋体" w:hAnsi="宋体" w:eastAsia="宋体" w:cs="宋体"/>
          <w:i w:val="0"/>
          <w:iCs w:val="0"/>
          <w:caps w:val="0"/>
          <w:color w:val="auto"/>
          <w:spacing w:val="0"/>
          <w:sz w:val="31"/>
          <w:szCs w:val="31"/>
          <w:shd w:val="clear" w:fill="FFFFFF"/>
          <w:vertAlign w:val="baseline"/>
          <w:lang w:val="en-US" w:eastAsia="zh-CN"/>
        </w:rPr>
        <w:t>以下简称百色市信访局</w:t>
      </w:r>
      <w:r>
        <w:rPr>
          <w:rFonts w:hint="eastAsia" w:ascii="宋体" w:hAnsi="宋体" w:eastAsia="宋体" w:cs="宋体"/>
          <w:i w:val="0"/>
          <w:iCs w:val="0"/>
          <w:caps w:val="0"/>
          <w:color w:val="auto"/>
          <w:spacing w:val="0"/>
          <w:sz w:val="31"/>
          <w:szCs w:val="31"/>
          <w:shd w:val="clear" w:fill="FFFFFF"/>
          <w:vertAlign w:val="baseline"/>
          <w:lang w:eastAsia="zh-CN"/>
        </w:rPr>
        <w:t>）</w:t>
      </w:r>
      <w:r>
        <w:rPr>
          <w:rFonts w:hint="eastAsia" w:ascii="宋体" w:hAnsi="宋体" w:eastAsia="宋体" w:cs="宋体"/>
          <w:i w:val="0"/>
          <w:iCs w:val="0"/>
          <w:caps w:val="0"/>
          <w:color w:val="auto"/>
          <w:spacing w:val="0"/>
          <w:sz w:val="31"/>
          <w:szCs w:val="31"/>
          <w:shd w:val="clear" w:fill="FFFFFF"/>
          <w:vertAlign w:val="baseline"/>
        </w:rPr>
        <w:t>内设办公室、办信科、接访科、复查复核科、督查指导科，共5个内</w:t>
      </w:r>
      <w:r>
        <w:rPr>
          <w:rFonts w:hint="eastAsia" w:ascii="宋体" w:hAnsi="宋体" w:eastAsia="宋体" w:cs="宋体"/>
          <w:i w:val="0"/>
          <w:iCs w:val="0"/>
          <w:caps w:val="0"/>
          <w:color w:val="auto"/>
          <w:spacing w:val="0"/>
          <w:sz w:val="31"/>
          <w:szCs w:val="31"/>
          <w:shd w:val="clear" w:fill="FFFFFF"/>
          <w:vertAlign w:val="baseline"/>
          <w:lang w:val="en-US" w:eastAsia="zh-CN"/>
        </w:rPr>
        <w:t>设机构和一个二层事业单位市群众工作服务中心。纳入部门决算汇编范围的独立核算单位有2个，分别是：</w:t>
      </w:r>
    </w:p>
    <w:p>
      <w:pPr>
        <w:ind w:firstLine="645"/>
        <w:rPr>
          <w:rFonts w:hint="default" w:ascii="宋体" w:hAnsi="宋体" w:eastAsia="宋体" w:cs="宋体"/>
          <w:i w:val="0"/>
          <w:iCs w:val="0"/>
          <w:caps w:val="0"/>
          <w:color w:val="auto"/>
          <w:spacing w:val="-11"/>
          <w:sz w:val="31"/>
          <w:szCs w:val="31"/>
          <w:shd w:val="clear" w:fill="FFFFFF"/>
          <w:vertAlign w:val="baseline"/>
          <w:lang w:val="en-US" w:eastAsia="zh-CN"/>
        </w:rPr>
      </w:pPr>
      <w:r>
        <w:rPr>
          <w:rFonts w:hint="eastAsia" w:ascii="宋体" w:hAnsi="宋体" w:eastAsia="宋体" w:cs="宋体"/>
          <w:i w:val="0"/>
          <w:iCs w:val="0"/>
          <w:caps w:val="0"/>
          <w:color w:val="auto"/>
          <w:spacing w:val="-11"/>
          <w:sz w:val="31"/>
          <w:szCs w:val="31"/>
          <w:shd w:val="clear" w:fill="FFFFFF"/>
          <w:vertAlign w:val="baseline"/>
          <w:lang w:val="en-US" w:eastAsia="zh-CN"/>
        </w:rPr>
        <w:t>中共百色市委员会百色</w:t>
      </w:r>
      <w:r>
        <w:rPr>
          <w:rFonts w:hint="eastAsia" w:ascii="宋体" w:hAnsi="宋体" w:eastAsia="宋体" w:cs="宋体"/>
          <w:i w:val="0"/>
          <w:iCs w:val="0"/>
          <w:caps w:val="0"/>
          <w:color w:val="auto"/>
          <w:spacing w:val="-11"/>
          <w:sz w:val="31"/>
          <w:szCs w:val="31"/>
          <w:shd w:val="clear" w:fill="FFFFFF"/>
          <w:vertAlign w:val="baseline"/>
        </w:rPr>
        <w:t>市人民政府信访</w:t>
      </w:r>
      <w:r>
        <w:rPr>
          <w:rFonts w:hint="default" w:ascii="宋体" w:hAnsi="宋体" w:eastAsia="宋体" w:cs="宋体"/>
          <w:i w:val="0"/>
          <w:iCs w:val="0"/>
          <w:caps w:val="0"/>
          <w:color w:val="auto"/>
          <w:spacing w:val="-11"/>
          <w:sz w:val="31"/>
          <w:szCs w:val="31"/>
          <w:shd w:val="clear" w:fill="FFFFFF"/>
          <w:vertAlign w:val="baseline"/>
          <w:lang w:val="en-US" w:eastAsia="zh-CN"/>
        </w:rPr>
        <w:t>局本级，属行政单位；</w:t>
      </w:r>
    </w:p>
    <w:p>
      <w:pPr>
        <w:ind w:firstLine="645"/>
        <w:rPr>
          <w:rFonts w:hint="default" w:ascii="宋体" w:hAnsi="宋体" w:eastAsia="宋体" w:cs="宋体"/>
          <w:i w:val="0"/>
          <w:iCs w:val="0"/>
          <w:caps w:val="0"/>
          <w:color w:val="auto"/>
          <w:spacing w:val="0"/>
          <w:sz w:val="31"/>
          <w:szCs w:val="31"/>
          <w:shd w:val="clear" w:fill="FFFFFF"/>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auto"/>
          <w:spacing w:val="0"/>
          <w:sz w:val="31"/>
          <w:szCs w:val="31"/>
          <w:shd w:val="clear" w:fill="FFFFFF"/>
          <w:vertAlign w:val="baseline"/>
          <w:lang w:val="en-US" w:eastAsia="zh-CN"/>
        </w:rPr>
        <w:t>百色市群众工作服务中心</w:t>
      </w:r>
      <w:r>
        <w:rPr>
          <w:rFonts w:hint="default" w:ascii="宋体" w:hAnsi="宋体" w:eastAsia="宋体" w:cs="宋体"/>
          <w:i w:val="0"/>
          <w:iCs w:val="0"/>
          <w:caps w:val="0"/>
          <w:color w:val="auto"/>
          <w:spacing w:val="0"/>
          <w:sz w:val="31"/>
          <w:szCs w:val="31"/>
          <w:shd w:val="clear" w:fill="FFFFFF"/>
          <w:vertAlign w:val="baseline"/>
          <w:lang w:val="en-US" w:eastAsia="zh-CN"/>
        </w:rPr>
        <w:t>，属公益一类事业单位</w:t>
      </w:r>
      <w:r>
        <w:rPr>
          <w:rFonts w:hint="eastAsia" w:ascii="宋体" w:hAnsi="宋体" w:eastAsia="宋体" w:cs="宋体"/>
          <w:i w:val="0"/>
          <w:iCs w:val="0"/>
          <w:caps w:val="0"/>
          <w:color w:val="auto"/>
          <w:spacing w:val="0"/>
          <w:sz w:val="31"/>
          <w:szCs w:val="31"/>
          <w:shd w:val="clear" w:fill="FFFFFF"/>
          <w:vertAlign w:val="baseline"/>
          <w:lang w:val="en-US" w:eastAsia="zh-CN"/>
        </w:rPr>
        <w:t>。</w:t>
      </w:r>
    </w:p>
    <w:p>
      <w:pPr>
        <w:jc w:val="both"/>
        <w:rPr>
          <w:rFonts w:ascii="黑体" w:hAnsi="黑体" w:eastAsia="黑体"/>
          <w:color w:val="auto"/>
          <w:sz w:val="32"/>
          <w:szCs w:val="32"/>
        </w:rPr>
      </w:pPr>
      <w:r>
        <w:rPr>
          <w:rFonts w:hint="eastAsia" w:ascii="黑体" w:hAnsi="黑体" w:eastAsia="黑体"/>
          <w:color w:val="auto"/>
          <w:sz w:val="32"/>
          <w:szCs w:val="32"/>
        </w:rPr>
        <w:t>第二部分：</w:t>
      </w:r>
      <w:r>
        <w:rPr>
          <w:rFonts w:hint="eastAsia" w:ascii="黑体" w:hAnsi="黑体" w:eastAsia="黑体"/>
          <w:bCs/>
          <w:color w:val="auto"/>
          <w:sz w:val="32"/>
          <w:szCs w:val="32"/>
          <w:u w:val="single"/>
        </w:rPr>
        <w:t>中共百色市委员会百色市人民政府信访局（汇总）</w:t>
      </w:r>
      <w:r>
        <w:rPr>
          <w:rFonts w:hint="eastAsia" w:ascii="黑体" w:hAnsi="黑体" w:eastAsia="黑体"/>
          <w:color w:val="auto"/>
          <w:sz w:val="32"/>
          <w:szCs w:val="32"/>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1169.49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1423.71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1423.71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207.11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207.11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1630.82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1630.82</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1423.71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1423.71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202.20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202.20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信访事务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737.17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737.17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2010350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其他政府办公厅（室）及相关机构事务支出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行政单位离退休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机关事业单位职业年金缴费支出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抚恤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2080801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死亡抚恤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公务员医疗补助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城乡社区支出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国有土地使用权出让收入安排的支出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2120801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征地和拆迁补偿支出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1423.71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432.32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991.39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315.01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737.17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315.01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737.17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202.20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202.20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信访事务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737.17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737.17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2010350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100.64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其他政府办公厅（室）及相关机构事务支出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73.42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47.84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行政单位离退休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机关事业单位职业年金缴费支出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抚恤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死亡抚恤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公务员医疗补助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城乡社区支出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国有土地使用权出让收入安排的支出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2120801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征地和拆迁补偿支出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1169.49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1052.18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1052.18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73.42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15.10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15.10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28.80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28.80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1423.71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1423.71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1169.49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207.11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207.11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207.11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207.11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1630.82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1630.82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1376.60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254.23</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1169.49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432.32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737.17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1052.18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315.01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737.17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1052.18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315.01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737.17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202.20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202.20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信访事务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737.17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737.17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其他政府办公厅（室）及相关机构事务支出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73.42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47.84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47.84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行政单位离退休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22.11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22.11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机关事业单位职业年金缴费支出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抚恤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死亡抚恤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公务员医疗补助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266.68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180.33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17.38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22.11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5.61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129.94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396.62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35.70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公开08表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254.23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254.23</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212</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城乡社区支出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254.23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254.23</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21208</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国有土地使用权出让收入安排的支出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254.23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254.23</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2120801</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征地和拆迁补偿支出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254.23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254.23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254.23</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公开09表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公开07表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中共百色市委员会百色市人民政府信访局（汇总）</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年度没有一般公共预算财政拨款“三公”经费收入，也没有一般公共预算财政拨款“三公”经费安排的支出，故本表无数据”。 </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pStyle w:val="6"/>
        <w:widowControl/>
        <w:spacing w:before="450" w:beforeAutospacing="0" w:after="450" w:afterAutospacing="0" w:line="420" w:lineRule="atLeast"/>
        <w:jc w:val="center"/>
        <w:rPr>
          <w:color w:val="auto"/>
        </w:rPr>
      </w:pPr>
      <w:r>
        <w:rPr>
          <w:rFonts w:hint="eastAsia" w:ascii="黑体" w:hAnsi="宋体" w:eastAsia="黑体" w:cs="黑体"/>
          <w:color w:val="auto"/>
          <w:sz w:val="36"/>
          <w:szCs w:val="36"/>
          <w:shd w:val="clear" w:color="auto" w:fill="FFFFFF"/>
        </w:rPr>
        <w:t>第三部分：</w:t>
      </w:r>
      <w:r>
        <w:rPr>
          <w:rFonts w:hint="eastAsia" w:ascii="黑体" w:hAnsi="黑体" w:eastAsia="黑体"/>
          <w:bCs/>
          <w:color w:val="auto"/>
          <w:sz w:val="32"/>
          <w:szCs w:val="32"/>
          <w:u w:val="single"/>
        </w:rPr>
        <w:t>中共百色市委员会百色市人民政府信访局（汇总）</w:t>
      </w:r>
      <w:r>
        <w:rPr>
          <w:rFonts w:hint="eastAsia" w:ascii="黑体" w:hAnsi="宋体" w:eastAsia="黑体" w:cs="黑体"/>
          <w:color w:val="auto"/>
          <w:sz w:val="36"/>
          <w:szCs w:val="36"/>
          <w:shd w:val="clear" w:color="auto" w:fill="FFFFFF"/>
        </w:rPr>
        <w:t>2022年度部门决算情况说明</w:t>
      </w:r>
    </w:p>
    <w:p>
      <w:pPr>
        <w:pStyle w:val="6"/>
        <w:widowControl/>
        <w:spacing w:before="450" w:beforeAutospacing="0" w:after="450" w:afterAutospacing="0" w:line="420" w:lineRule="atLeast"/>
        <w:ind w:firstLine="645"/>
        <w:rPr>
          <w:color w:val="auto"/>
          <w:sz w:val="32"/>
          <w:szCs w:val="32"/>
        </w:rPr>
      </w:pPr>
      <w:r>
        <w:rPr>
          <w:rFonts w:hint="eastAsia" w:ascii="黑体" w:hAnsi="宋体" w:eastAsia="黑体" w:cs="黑体"/>
          <w:color w:val="auto"/>
          <w:sz w:val="32"/>
          <w:szCs w:val="32"/>
          <w:shd w:val="clear" w:color="auto" w:fill="FFFFFF"/>
        </w:rPr>
        <w:t>一、2022年度收入支出决算总体情况</w:t>
      </w:r>
    </w:p>
    <w:p>
      <w:pPr>
        <w:pStyle w:val="6"/>
        <w:widowControl/>
        <w:spacing w:before="450" w:beforeAutospacing="0" w:after="450" w:afterAutospacing="0" w:line="420" w:lineRule="atLeast"/>
        <w:ind w:left="309" w:leftChars="147" w:firstLine="641" w:firstLineChars="207"/>
        <w:rPr>
          <w:rFonts w:hint="eastAsia" w:ascii="仿宋" w:hAnsi="仿宋" w:eastAsia="仿宋" w:cs="仿宋"/>
          <w:color w:val="auto"/>
          <w:sz w:val="31"/>
          <w:szCs w:val="31"/>
        </w:rPr>
      </w:pPr>
      <w:r>
        <w:rPr>
          <w:rFonts w:hint="eastAsia" w:ascii="仿宋" w:hAnsi="仿宋" w:eastAsia="仿宋" w:cs="仿宋"/>
          <w:color w:val="auto"/>
          <w:sz w:val="31"/>
          <w:szCs w:val="31"/>
          <w:shd w:val="clear" w:color="auto" w:fill="FFFFFF"/>
        </w:rPr>
        <w:t xml:space="preserve">（一）本部门2022年度总收入 </w:t>
      </w:r>
      <w:r>
        <w:rPr>
          <w:rFonts w:hint="eastAsia" w:ascii="仿宋" w:hAnsi="仿宋" w:eastAsia="仿宋" w:cs="仿宋"/>
          <w:color w:val="auto"/>
          <w:sz w:val="31"/>
          <w:szCs w:val="31"/>
        </w:rPr>
        <w:t>1630.82</w:t>
      </w:r>
      <w:r>
        <w:rPr>
          <w:rFonts w:ascii="仿宋" w:hAnsi="仿宋" w:eastAsia="仿宋" w:cs="仿宋"/>
          <w:color w:val="auto"/>
          <w:sz w:val="31"/>
          <w:u w:color="auto"/>
        </w:rPr>
        <w:t>万元（其中本年收入  1423.71万元），较2021年度决算数1228.01万元， 增加402.81万元，增长32.80%。收入具体情况如下</w:t>
      </w:r>
      <w:r>
        <w:rPr>
          <w:rFonts w:hint="eastAsia" w:ascii="仿宋" w:hAnsi="仿宋" w:eastAsia="仿宋" w:cs="仿宋"/>
          <w:color w:val="auto"/>
          <w:sz w:val="31"/>
          <w:szCs w:val="31"/>
          <w:shd w:val="clear" w:color="auto" w:fill="FFFFFF"/>
        </w:rPr>
        <w:t>：</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 xml:space="preserve">1.一般公共预算财政拨款收入 </w:t>
      </w:r>
      <w:r>
        <w:rPr>
          <w:rFonts w:hint="eastAsia" w:ascii="仿宋" w:hAnsi="仿宋" w:eastAsia="仿宋" w:cs="仿宋"/>
          <w:color w:val="auto"/>
          <w:sz w:val="31"/>
          <w:szCs w:val="31"/>
        </w:rPr>
        <w:t>1169.49</w:t>
      </w:r>
      <w:r>
        <w:rPr>
          <w:rFonts w:ascii="仿宋" w:hAnsi="仿宋" w:eastAsia="仿宋" w:cs="仿宋"/>
          <w:color w:val="auto"/>
          <w:sz w:val="31"/>
          <w:u w:color="auto"/>
        </w:rPr>
        <w:t>万元，为百色本级财政当年拨付的资金。较2021年度决算数 1020.89万元，增加148.60万元，增长14.56%，</w:t>
      </w:r>
      <w:r>
        <w:rPr>
          <w:rFonts w:hint="eastAsia" w:ascii="仿宋" w:hAnsi="仿宋" w:eastAsia="仿宋" w:cs="仿宋"/>
          <w:color w:val="auto"/>
          <w:kern w:val="2"/>
          <w:sz w:val="31"/>
          <w:szCs w:val="31"/>
          <w:highlight w:val="none"/>
          <w:lang w:val="en-US" w:eastAsia="zh-CN" w:bidi="ar"/>
        </w:rPr>
        <w:t>主要原因：一是在职人员正常晋级及职务晋升增加人员经费；二是随工资福利支出增加而按比例相应增加的其他对个人和家庭的补助、公积金、医疗保险等；3是项目支出也随着本年度实际情况而增加等。</w:t>
      </w:r>
    </w:p>
    <w:p>
      <w:pPr>
        <w:ind w:firstLine="620" w:firstLineChars="200"/>
        <w:rPr>
          <w:rFonts w:hint="eastAsia" w:ascii="仿宋" w:hAnsi="仿宋" w:eastAsia="仿宋" w:cs="仿宋"/>
          <w:color w:val="auto"/>
          <w:sz w:val="31"/>
          <w:szCs w:val="31"/>
          <w:lang w:eastAsia="zh-CN"/>
        </w:rPr>
      </w:pPr>
      <w:r>
        <w:rPr>
          <w:rFonts w:hint="eastAsia" w:ascii="仿宋" w:hAnsi="仿宋" w:eastAsia="仿宋" w:cs="仿宋"/>
          <w:color w:val="auto"/>
          <w:sz w:val="31"/>
          <w:szCs w:val="31"/>
          <w:shd w:val="clear" w:color="auto" w:fill="FFFFFF"/>
        </w:rPr>
        <w:t>2.</w:t>
      </w:r>
      <w:r>
        <w:rPr>
          <w:rFonts w:hint="eastAsia" w:ascii="仿宋" w:hAnsi="仿宋" w:eastAsia="仿宋" w:cs="仿宋"/>
          <w:color w:val="auto"/>
          <w:sz w:val="31"/>
          <w:szCs w:val="31"/>
        </w:rPr>
        <w:t xml:space="preserve">政府性基金预算财政拨款收入 </w:t>
      </w:r>
      <w:r>
        <w:rPr>
          <w:rFonts w:ascii="仿宋" w:hAnsi="仿宋" w:eastAsia="仿宋" w:cs="仿宋"/>
          <w:color w:val="auto"/>
          <w:sz w:val="31"/>
          <w:u w:color="auto"/>
        </w:rPr>
        <w:t>254.23万元，为百色本级财政当年拨付的资金。较2021年度决算数 0.00万元，增加254.23万元，增长100%，</w:t>
      </w:r>
      <w:r>
        <w:rPr>
          <w:rFonts w:hint="eastAsia" w:ascii="仿宋" w:hAnsi="仿宋" w:eastAsia="仿宋" w:cs="仿宋"/>
          <w:color w:val="auto"/>
          <w:kern w:val="2"/>
          <w:sz w:val="31"/>
          <w:szCs w:val="31"/>
          <w:highlight w:val="none"/>
          <w:lang w:val="en-US" w:eastAsia="zh-CN" w:bidi="ar"/>
        </w:rPr>
        <w:t>主要原因：本年度投资建设百色市群众信访服务中心试点项目工程建设，并向财政申请拨款，使用</w:t>
      </w:r>
      <w:r>
        <w:rPr>
          <w:rFonts w:hint="eastAsia" w:ascii="仿宋" w:hAnsi="仿宋" w:eastAsia="仿宋" w:cs="仿宋"/>
          <w:color w:val="auto"/>
          <w:sz w:val="31"/>
          <w:szCs w:val="31"/>
        </w:rPr>
        <w:t>政府性基金预算财政拨款</w:t>
      </w:r>
      <w:r>
        <w:rPr>
          <w:rFonts w:hint="eastAsia" w:ascii="仿宋" w:hAnsi="仿宋" w:eastAsia="仿宋" w:cs="仿宋"/>
          <w:color w:val="auto"/>
          <w:sz w:val="31"/>
          <w:szCs w:val="31"/>
          <w:lang w:eastAsia="zh-CN"/>
        </w:rPr>
        <w:t>资金。</w:t>
      </w:r>
    </w:p>
    <w:p>
      <w:pPr>
        <w:ind w:firstLine="620" w:firstLineChars="200"/>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3.</w:t>
      </w:r>
      <w:r>
        <w:rPr>
          <w:rFonts w:hint="eastAsia" w:ascii="仿宋" w:hAnsi="仿宋" w:eastAsia="仿宋" w:cs="仿宋"/>
          <w:color w:val="auto"/>
          <w:sz w:val="31"/>
          <w:szCs w:val="31"/>
        </w:rPr>
        <w:t xml:space="preserve">国有资本经营预算财政拨款收入 </w:t>
      </w:r>
      <w:r>
        <w:rPr>
          <w:rFonts w:ascii="仿宋" w:hAnsi="仿宋" w:eastAsia="仿宋" w:cs="仿宋"/>
          <w:color w:val="auto"/>
          <w:sz w:val="31"/>
          <w:u w:color="auto"/>
        </w:rPr>
        <w:t>0.00万元，为百色本级财政当年拨付的资金。较2021年度决算数0.00万元，增加0.00 万元，增长0%，</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4.</w:t>
      </w:r>
      <w:r>
        <w:rPr>
          <w:rFonts w:hint="eastAsia" w:ascii="仿宋" w:hAnsi="仿宋" w:eastAsia="仿宋" w:cs="仿宋"/>
          <w:color w:val="auto"/>
          <w:sz w:val="31"/>
          <w:szCs w:val="31"/>
        </w:rPr>
        <w:t xml:space="preserve">上级补助收入 </w:t>
      </w:r>
      <w:r>
        <w:rPr>
          <w:rFonts w:ascii="仿宋" w:hAnsi="仿宋" w:eastAsia="仿宋" w:cs="仿宋"/>
          <w:color w:val="auto"/>
          <w:sz w:val="31"/>
          <w:u w:color="auto"/>
        </w:rPr>
        <w:t>0.00 万元，为上级部门当年拨付的资金。较2021年度决算数0.00万元，增加0.00 万元，增长0%，</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5.</w:t>
      </w:r>
      <w:r>
        <w:rPr>
          <w:rFonts w:hint="eastAsia" w:ascii="仿宋" w:hAnsi="仿宋" w:eastAsia="仿宋" w:cs="仿宋"/>
          <w:color w:val="auto"/>
          <w:sz w:val="31"/>
          <w:szCs w:val="31"/>
        </w:rPr>
        <w:t>事业收入</w:t>
      </w:r>
      <w:r>
        <w:rPr>
          <w:rFonts w:ascii="仿宋" w:hAnsi="仿宋" w:eastAsia="仿宋" w:cs="仿宋"/>
          <w:color w:val="auto"/>
          <w:sz w:val="31"/>
          <w:u w:color="auto"/>
        </w:rPr>
        <w:t>0.00万元，为事业单位开展业务活动取得的收入。较2021年度决算数 0.00万元，增加0.00 万元，增长0%，</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6.</w:t>
      </w:r>
      <w:r>
        <w:rPr>
          <w:rFonts w:hint="eastAsia" w:ascii="仿宋" w:hAnsi="仿宋" w:eastAsia="仿宋" w:cs="仿宋"/>
          <w:color w:val="auto"/>
          <w:sz w:val="31"/>
          <w:szCs w:val="31"/>
        </w:rPr>
        <w:t>经营收入</w:t>
      </w:r>
      <w:r>
        <w:rPr>
          <w:rFonts w:ascii="仿宋" w:hAnsi="仿宋" w:eastAsia="仿宋" w:cs="仿宋"/>
          <w:color w:val="auto"/>
          <w:sz w:val="31"/>
          <w:u w:color="auto"/>
        </w:rPr>
        <w:t>0.00万，为事业单位在业务活动之外开展非独立核算经营活动取得的收入。较2021年度决算数0.00万元，增加0.00万元，增长0%，</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7.</w:t>
      </w:r>
      <w:r>
        <w:rPr>
          <w:rFonts w:hint="eastAsia" w:ascii="仿宋" w:hAnsi="仿宋" w:eastAsia="仿宋" w:cs="仿宋"/>
          <w:color w:val="auto"/>
          <w:sz w:val="31"/>
          <w:szCs w:val="31"/>
        </w:rPr>
        <w:t>附属单位上缴收入</w:t>
      </w:r>
      <w:r>
        <w:rPr>
          <w:rFonts w:ascii="仿宋" w:hAnsi="仿宋" w:eastAsia="仿宋" w:cs="仿宋"/>
          <w:color w:val="auto"/>
          <w:sz w:val="31"/>
          <w:u w:color="auto"/>
        </w:rPr>
        <w:t>0.00万元。较2021年度决算数0.00万元，增加0.00 万元，增长0%，</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8.</w:t>
      </w:r>
      <w:r>
        <w:rPr>
          <w:rFonts w:hint="eastAsia" w:ascii="仿宋" w:hAnsi="仿宋" w:eastAsia="仿宋" w:cs="仿宋"/>
          <w:color w:val="auto"/>
          <w:sz w:val="31"/>
          <w:szCs w:val="31"/>
        </w:rPr>
        <w:t>其他收入</w:t>
      </w:r>
      <w:r>
        <w:rPr>
          <w:rFonts w:ascii="仿宋" w:hAnsi="仿宋" w:eastAsia="仿宋" w:cs="仿宋"/>
          <w:color w:val="auto"/>
          <w:sz w:val="31"/>
          <w:u w:color="auto"/>
        </w:rPr>
        <w:t>0.00万元，为预算单位在“财政拨款收入”“事业收入”“经营收入”之外取得的收入。较2021年度决算数0.00万元，增加0.00万元，增长0%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9.使用非财政拨款结余</w:t>
      </w:r>
      <w:r>
        <w:rPr>
          <w:rFonts w:hint="eastAsia" w:ascii="仿宋" w:hAnsi="仿宋" w:eastAsia="仿宋" w:cs="仿宋"/>
          <w:color w:val="auto"/>
          <w:sz w:val="31"/>
          <w:szCs w:val="31"/>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kern w:val="2"/>
          <w:sz w:val="31"/>
          <w:szCs w:val="31"/>
          <w:highlight w:val="none"/>
          <w:lang w:val="en-US" w:eastAsia="zh-CN" w:bidi="ar"/>
        </w:rPr>
        <w:t>主要是：本年度无该项目资金。</w:t>
      </w:r>
      <w:r>
        <w:rPr>
          <w:rFonts w:hint="eastAsia" w:ascii="仿宋" w:hAnsi="仿宋" w:eastAsia="仿宋" w:cs="仿宋"/>
          <w:color w:val="auto"/>
          <w:sz w:val="31"/>
          <w:szCs w:val="31"/>
          <w:shd w:val="clear" w:color="auto" w:fill="FFFFFF"/>
        </w:rPr>
        <w:t>较2021年度决算数</w:t>
      </w:r>
      <w:r>
        <w:rPr>
          <w:rFonts w:hint="eastAsia" w:ascii="仿宋" w:hAnsi="仿宋" w:eastAsia="仿宋" w:cs="仿宋"/>
          <w:color w:val="auto"/>
          <w:sz w:val="31"/>
          <w:szCs w:val="31"/>
        </w:rPr>
        <w:t>0.00</w:t>
      </w:r>
      <w:r>
        <w:rPr>
          <w:rFonts w:ascii="仿宋" w:hAnsi="仿宋" w:eastAsia="仿宋" w:cs="仿宋"/>
          <w:color w:val="auto"/>
          <w:sz w:val="31"/>
          <w:u w:color="auto"/>
        </w:rPr>
        <w:t>万元，增加0.00 万元，增长0%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主要原因：本年度无该项目资金。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10.年初结转和结余</w:t>
      </w:r>
      <w:r>
        <w:rPr>
          <w:rFonts w:hint="eastAsia" w:ascii="仿宋" w:hAnsi="仿宋" w:eastAsia="仿宋" w:cs="仿宋"/>
          <w:color w:val="auto"/>
          <w:sz w:val="31"/>
          <w:szCs w:val="31"/>
        </w:rPr>
        <w:t>207.11</w:t>
      </w:r>
      <w:r>
        <w:rPr>
          <w:rFonts w:hint="eastAsia" w:ascii="仿宋" w:hAnsi="仿宋" w:eastAsia="仿宋" w:cs="仿宋"/>
          <w:color w:val="auto"/>
          <w:sz w:val="31"/>
          <w:szCs w:val="31"/>
          <w:shd w:val="clear" w:color="auto" w:fill="FFFFFF"/>
        </w:rPr>
        <w:t>万元，为以前年度支出预算因客观条件变化未执行完毕、结转到本年度按有关规定继续使用的资金。较2021年度决算数</w:t>
      </w:r>
      <w:r>
        <w:rPr>
          <w:rFonts w:hint="eastAsia" w:ascii="仿宋" w:hAnsi="仿宋" w:eastAsia="仿宋" w:cs="仿宋"/>
          <w:color w:val="auto"/>
          <w:sz w:val="31"/>
          <w:szCs w:val="31"/>
        </w:rPr>
        <w:t>207.11</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rPr>
        <w:t>增加0.00</w:t>
      </w:r>
      <w:r>
        <w:rPr>
          <w:rFonts w:hint="eastAsia" w:ascii="仿宋" w:hAnsi="仿宋" w:eastAsia="仿宋" w:cs="仿宋"/>
          <w:color w:val="auto"/>
          <w:sz w:val="31"/>
          <w:szCs w:val="31"/>
          <w:shd w:val="clear" w:color="auto" w:fill="FFFFFF"/>
        </w:rPr>
        <w:t>万元，</w:t>
      </w:r>
      <w:r>
        <w:rPr>
          <w:rFonts w:ascii="仿宋" w:hAnsi="仿宋" w:eastAsia="仿宋" w:cs="仿宋"/>
          <w:color w:val="auto"/>
          <w:sz w:val="31"/>
          <w:u w:color="auto"/>
        </w:rPr>
        <w:t>增长0%，</w:t>
      </w:r>
      <w:r>
        <w:rPr>
          <w:rFonts w:hint="eastAsia" w:ascii="仿宋" w:hAnsi="仿宋" w:eastAsia="仿宋" w:cs="仿宋"/>
          <w:color w:val="auto"/>
          <w:kern w:val="2"/>
          <w:sz w:val="31"/>
          <w:szCs w:val="31"/>
          <w:highlight w:val="none"/>
          <w:lang w:val="en-US" w:eastAsia="zh-CN" w:bidi="ar"/>
        </w:rPr>
        <w:t>主要原因：项目资金未进行全部支付，存在结余。</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（二）本部门2022年度总支出</w:t>
      </w:r>
      <w:r>
        <w:rPr>
          <w:rFonts w:hint="eastAsia" w:ascii="仿宋" w:hAnsi="仿宋" w:eastAsia="仿宋" w:cs="仿宋"/>
          <w:color w:val="auto"/>
          <w:sz w:val="31"/>
          <w:szCs w:val="31"/>
        </w:rPr>
        <w:t>1630.82</w:t>
      </w:r>
      <w:r>
        <w:rPr>
          <w:rFonts w:hint="eastAsia" w:ascii="仿宋" w:hAnsi="仿宋" w:eastAsia="仿宋" w:cs="仿宋"/>
          <w:color w:val="auto"/>
          <w:sz w:val="31"/>
          <w:szCs w:val="31"/>
          <w:shd w:val="clear" w:color="auto" w:fill="FFFFFF"/>
        </w:rPr>
        <w:t>万元（其中本年支出</w:t>
      </w:r>
      <w:r>
        <w:rPr>
          <w:rFonts w:hint="eastAsia" w:ascii="仿宋" w:hAnsi="仿宋" w:eastAsia="仿宋" w:cs="仿宋"/>
          <w:color w:val="auto"/>
          <w:sz w:val="31"/>
          <w:szCs w:val="31"/>
        </w:rPr>
        <w:t>1423.71</w:t>
      </w:r>
      <w:r>
        <w:rPr>
          <w:rFonts w:hint="eastAsia" w:ascii="仿宋" w:hAnsi="仿宋" w:eastAsia="仿宋" w:cs="仿宋"/>
          <w:color w:val="auto"/>
          <w:sz w:val="31"/>
          <w:szCs w:val="31"/>
          <w:shd w:val="clear" w:color="auto" w:fill="FFFFFF"/>
        </w:rPr>
        <w:t>万元），较2021年度决算数</w:t>
      </w:r>
      <w:r>
        <w:rPr>
          <w:rFonts w:hint="eastAsia" w:ascii="仿宋" w:hAnsi="仿宋" w:eastAsia="仿宋" w:cs="仿宋"/>
          <w:color w:val="auto"/>
          <w:sz w:val="31"/>
          <w:szCs w:val="31"/>
        </w:rPr>
        <w:t>1228.01</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rPr>
        <w:t>增加402.81</w:t>
      </w:r>
      <w:r>
        <w:rPr>
          <w:rFonts w:hint="eastAsia" w:ascii="仿宋" w:hAnsi="仿宋" w:eastAsia="仿宋" w:cs="仿宋"/>
          <w:color w:val="auto"/>
          <w:sz w:val="31"/>
          <w:szCs w:val="31"/>
          <w:lang w:val="en-US" w:eastAsia="zh-CN"/>
        </w:rPr>
        <w:t>万元</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rPr>
        <w:t>增长32.80%</w:t>
      </w:r>
      <w:r>
        <w:rPr>
          <w:rFonts w:hint="eastAsia" w:ascii="仿宋" w:hAnsi="仿宋" w:eastAsia="仿宋" w:cs="仿宋"/>
          <w:color w:val="auto"/>
          <w:sz w:val="31"/>
          <w:szCs w:val="31"/>
          <w:shd w:val="clear" w:color="auto" w:fill="FFFFFF"/>
        </w:rPr>
        <w:t>。支出具体情况如下：</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eastAsia="zh-CN"/>
        </w:rPr>
      </w:pPr>
      <w:r>
        <w:rPr>
          <w:rFonts w:hint="eastAsia" w:ascii="仿宋" w:hAnsi="仿宋" w:eastAsia="仿宋" w:cs="仿宋"/>
          <w:color w:val="auto"/>
          <w:sz w:val="31"/>
          <w:szCs w:val="31"/>
        </w:rPr>
        <w:t>1</w:t>
      </w:r>
      <w:r>
        <w:rPr>
          <w:rFonts w:ascii="仿宋" w:hAnsi="仿宋" w:eastAsia="仿宋" w:cs="仿宋"/>
          <w:color w:val="auto"/>
          <w:sz w:val="31"/>
          <w:u w:color="auto"/>
        </w:rPr>
        <w:t>.</w:t>
      </w:r>
      <w:r>
        <w:rPr>
          <w:rFonts w:hint="eastAsia" w:ascii="仿宋" w:hAnsi="仿宋" w:eastAsia="仿宋" w:cs="仿宋"/>
          <w:color w:val="auto"/>
          <w:sz w:val="31"/>
          <w:szCs w:val="31"/>
          <w:lang w:bidi="ar"/>
        </w:rPr>
        <w:t>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1052.18</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：信访局机关和</w:t>
      </w:r>
      <w:r>
        <w:rPr>
          <w:rFonts w:hint="eastAsia" w:ascii="仿宋" w:hAnsi="仿宋" w:eastAsia="仿宋" w:cs="仿宋"/>
          <w:color w:val="auto"/>
          <w:sz w:val="31"/>
          <w:szCs w:val="31"/>
          <w:highlight w:val="none"/>
          <w:lang w:val="en-US" w:eastAsia="zh-CN"/>
        </w:rPr>
        <w:t>二层</w:t>
      </w:r>
      <w:r>
        <w:rPr>
          <w:rFonts w:hint="eastAsia" w:ascii="仿宋" w:hAnsi="仿宋" w:eastAsia="仿宋" w:cs="仿宋"/>
          <w:color w:val="auto"/>
          <w:sz w:val="31"/>
          <w:szCs w:val="31"/>
          <w:highlight w:val="none"/>
          <w:lang w:eastAsia="zh-CN"/>
        </w:rPr>
        <w:t>事业单位为保证日常运转发生的基本支出和为完成各项信访工作任务、保障信访事业发展而发生的项目支出</w:t>
      </w:r>
      <w:r>
        <w:rPr>
          <w:rFonts w:hint="eastAsia" w:ascii="仿宋" w:hAnsi="仿宋" w:eastAsia="仿宋" w:cs="仿宋"/>
          <w:color w:val="auto"/>
          <w:sz w:val="31"/>
          <w:szCs w:val="31"/>
          <w:shd w:val="clear" w:color="auto" w:fill="FFFFFF"/>
        </w:rPr>
        <w:t xml:space="preserve">，较2021年决算 </w:t>
      </w:r>
      <w:r>
        <w:rPr>
          <w:rFonts w:hint="eastAsia" w:ascii="仿宋" w:hAnsi="仿宋" w:eastAsia="仿宋" w:cs="仿宋"/>
          <w:color w:val="auto"/>
          <w:sz w:val="31"/>
          <w:szCs w:val="31"/>
          <w:lang w:bidi="ar"/>
        </w:rPr>
        <w:t>937.05</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增加115.13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增长12.29%</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sz w:val="31"/>
          <w:szCs w:val="31"/>
          <w:highlight w:val="none"/>
          <w:lang w:val="en-US" w:eastAsia="zh-CN"/>
        </w:rPr>
        <w:t>信访日常工作业务增加和在职人员职务职级晋升而增加人员经费支出。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rPr>
        <w:t>2</w:t>
      </w:r>
      <w:r>
        <w:rPr>
          <w:rFonts w:ascii="仿宋" w:hAnsi="仿宋" w:eastAsia="仿宋" w:cs="仿宋"/>
          <w:color w:val="auto"/>
          <w:sz w:val="31"/>
          <w:u w:color="auto"/>
        </w:rPr>
        <w:t>.</w:t>
      </w:r>
      <w:r>
        <w:rPr>
          <w:rFonts w:hint="eastAsia" w:ascii="仿宋" w:hAnsi="仿宋" w:eastAsia="仿宋" w:cs="仿宋"/>
          <w:color w:val="auto"/>
          <w:sz w:val="31"/>
          <w:szCs w:val="31"/>
          <w:lang w:bidi="ar"/>
        </w:rPr>
        <w:t>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73.42</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：信访局机关和</w:t>
      </w:r>
      <w:r>
        <w:rPr>
          <w:rFonts w:hint="eastAsia" w:ascii="仿宋" w:hAnsi="仿宋" w:eastAsia="仿宋" w:cs="仿宋"/>
          <w:color w:val="auto"/>
          <w:sz w:val="31"/>
          <w:szCs w:val="31"/>
          <w:highlight w:val="none"/>
          <w:lang w:val="en-US" w:eastAsia="zh-CN"/>
        </w:rPr>
        <w:t>二层</w:t>
      </w:r>
      <w:r>
        <w:rPr>
          <w:rFonts w:hint="eastAsia" w:ascii="仿宋" w:hAnsi="仿宋" w:eastAsia="仿宋" w:cs="仿宋"/>
          <w:color w:val="auto"/>
          <w:sz w:val="31"/>
          <w:szCs w:val="31"/>
          <w:highlight w:val="none"/>
          <w:lang w:eastAsia="zh-CN"/>
        </w:rPr>
        <w:t>事业单位按国家规定发放的离退休人员管理方面的支出和机关事业单位基本养老保险、职业年金缴费</w:t>
      </w:r>
      <w:r>
        <w:rPr>
          <w:rFonts w:hint="eastAsia" w:ascii="仿宋" w:hAnsi="仿宋" w:eastAsia="仿宋" w:cs="仿宋"/>
          <w:color w:val="auto"/>
          <w:sz w:val="31"/>
          <w:szCs w:val="31"/>
          <w:shd w:val="clear" w:color="auto" w:fill="FFFFFF"/>
        </w:rPr>
        <w:t xml:space="preserve">，较2021年决算 </w:t>
      </w:r>
      <w:r>
        <w:rPr>
          <w:rFonts w:hint="eastAsia" w:ascii="仿宋" w:hAnsi="仿宋" w:eastAsia="仿宋" w:cs="仿宋"/>
          <w:color w:val="auto"/>
          <w:sz w:val="31"/>
          <w:szCs w:val="31"/>
          <w:lang w:bidi="ar"/>
        </w:rPr>
        <w:t>41.00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增加32.42</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增长79.07%</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主要原因是：随工资基数调整，而按比例相应增加的各项社会保险缴费。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rPr>
        <w:t>3</w:t>
      </w:r>
      <w:r>
        <w:rPr>
          <w:rFonts w:ascii="仿宋" w:hAnsi="仿宋" w:eastAsia="仿宋" w:cs="仿宋"/>
          <w:color w:val="auto"/>
          <w:sz w:val="31"/>
          <w:u w:color="auto"/>
        </w:rPr>
        <w:t>.</w:t>
      </w:r>
      <w:r>
        <w:rPr>
          <w:rFonts w:hint="eastAsia" w:ascii="仿宋" w:hAnsi="仿宋" w:eastAsia="仿宋" w:cs="仿宋"/>
          <w:color w:val="auto"/>
          <w:sz w:val="31"/>
          <w:szCs w:val="31"/>
          <w:lang w:bidi="ar"/>
        </w:rPr>
        <w:t>卫生健康支出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15.10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：信访局机关和</w:t>
      </w:r>
      <w:r>
        <w:rPr>
          <w:rFonts w:hint="eastAsia" w:ascii="仿宋" w:hAnsi="仿宋" w:eastAsia="仿宋" w:cs="仿宋"/>
          <w:color w:val="auto"/>
          <w:sz w:val="31"/>
          <w:szCs w:val="31"/>
          <w:highlight w:val="none"/>
          <w:lang w:val="en-US" w:eastAsia="zh-CN"/>
        </w:rPr>
        <w:t>二层</w:t>
      </w:r>
      <w:r>
        <w:rPr>
          <w:rFonts w:hint="eastAsia" w:ascii="仿宋" w:hAnsi="仿宋" w:eastAsia="仿宋" w:cs="仿宋"/>
          <w:color w:val="auto"/>
          <w:sz w:val="31"/>
          <w:szCs w:val="31"/>
          <w:highlight w:val="none"/>
          <w:lang w:eastAsia="zh-CN"/>
        </w:rPr>
        <w:t>事业单位</w:t>
      </w:r>
      <w:r>
        <w:rPr>
          <w:rFonts w:hint="eastAsia" w:ascii="仿宋" w:hAnsi="仿宋" w:eastAsia="仿宋" w:cs="仿宋"/>
          <w:color w:val="auto"/>
          <w:sz w:val="31"/>
          <w:szCs w:val="31"/>
          <w:highlight w:val="none"/>
          <w:lang w:val="en-US" w:eastAsia="zh-CN"/>
        </w:rPr>
        <w:t>在职人员</w:t>
      </w:r>
      <w:r>
        <w:rPr>
          <w:rFonts w:hint="eastAsia" w:ascii="仿宋" w:hAnsi="仿宋" w:eastAsia="仿宋" w:cs="仿宋"/>
          <w:color w:val="auto"/>
          <w:sz w:val="31"/>
          <w:szCs w:val="31"/>
          <w:highlight w:val="none"/>
          <w:lang w:eastAsia="zh-CN"/>
        </w:rPr>
        <w:t>按国家规定发放</w:t>
      </w:r>
      <w:r>
        <w:rPr>
          <w:rFonts w:hint="eastAsia" w:ascii="仿宋" w:hAnsi="仿宋" w:eastAsia="仿宋" w:cs="仿宋"/>
          <w:color w:val="auto"/>
          <w:sz w:val="31"/>
          <w:szCs w:val="31"/>
          <w:highlight w:val="none"/>
          <w:lang w:val="en-US" w:eastAsia="zh-CN"/>
        </w:rPr>
        <w:t>的医疗保险、医疗补助、大病医疗费用</w:t>
      </w:r>
      <w:r>
        <w:rPr>
          <w:rFonts w:hint="eastAsia" w:ascii="仿宋" w:hAnsi="仿宋" w:eastAsia="仿宋" w:cs="仿宋"/>
          <w:color w:val="auto"/>
          <w:sz w:val="31"/>
          <w:szCs w:val="31"/>
          <w:shd w:val="clear" w:color="auto" w:fill="FFFFFF"/>
        </w:rPr>
        <w:t xml:space="preserve">，较2021年决算 </w:t>
      </w:r>
      <w:r>
        <w:rPr>
          <w:rFonts w:hint="eastAsia" w:ascii="仿宋" w:hAnsi="仿宋" w:eastAsia="仿宋" w:cs="仿宋"/>
          <w:color w:val="auto"/>
          <w:sz w:val="31"/>
          <w:szCs w:val="31"/>
          <w:lang w:bidi="ar"/>
        </w:rPr>
        <w:t>14.83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增加0.27</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增长1.82%</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主要原因是：随工资福利支出增加而按比例相应增加的医疗保障缴费。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eastAsia="zh-CN"/>
        </w:rPr>
      </w:pPr>
      <w:r>
        <w:rPr>
          <w:rFonts w:hint="eastAsia" w:ascii="仿宋" w:hAnsi="仿宋" w:eastAsia="仿宋" w:cs="仿宋"/>
          <w:color w:val="auto"/>
          <w:sz w:val="31"/>
          <w:szCs w:val="31"/>
        </w:rPr>
        <w:t>4</w:t>
      </w:r>
      <w:r>
        <w:rPr>
          <w:rFonts w:ascii="仿宋" w:hAnsi="仿宋" w:eastAsia="仿宋" w:cs="仿宋"/>
          <w:color w:val="auto"/>
          <w:sz w:val="31"/>
          <w:u w:color="auto"/>
        </w:rPr>
        <w:t>.</w:t>
      </w:r>
      <w:r>
        <w:rPr>
          <w:rFonts w:hint="eastAsia" w:ascii="仿宋" w:hAnsi="仿宋" w:eastAsia="仿宋" w:cs="仿宋"/>
          <w:color w:val="auto"/>
          <w:sz w:val="31"/>
          <w:szCs w:val="31"/>
          <w:lang w:bidi="ar"/>
        </w:rPr>
        <w:t>城乡社区支出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254.23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w:t>
      </w:r>
      <w:r>
        <w:rPr>
          <w:rFonts w:hint="eastAsia" w:ascii="仿宋" w:hAnsi="仿宋" w:eastAsia="仿宋" w:cs="仿宋"/>
          <w:color w:val="auto"/>
          <w:sz w:val="31"/>
          <w:szCs w:val="31"/>
          <w:highlight w:val="none"/>
          <w:lang w:val="en-US" w:eastAsia="zh-CN"/>
        </w:rPr>
        <w:t>用于群众信访服务中心建设项目建设土地划拨</w:t>
      </w:r>
      <w:r>
        <w:rPr>
          <w:rFonts w:hint="eastAsia" w:ascii="仿宋" w:hAnsi="仿宋" w:eastAsia="仿宋" w:cs="仿宋"/>
          <w:color w:val="auto"/>
          <w:sz w:val="31"/>
          <w:szCs w:val="31"/>
          <w:shd w:val="clear" w:color="auto" w:fill="FFFFFF"/>
        </w:rPr>
        <w:t xml:space="preserve">，较2021年决算 </w:t>
      </w:r>
      <w:r>
        <w:rPr>
          <w:rFonts w:hint="eastAsia" w:ascii="仿宋" w:hAnsi="仿宋" w:eastAsia="仿宋" w:cs="仿宋"/>
          <w:color w:val="auto"/>
          <w:sz w:val="31"/>
          <w:szCs w:val="31"/>
          <w:lang w:bidi="ar"/>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增加254.23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highlight w:val="none"/>
          <w:lang w:val="en-US" w:eastAsia="zh-CN"/>
        </w:rPr>
        <w:t>主要原因是：因群众信访服务中心建设项目建设需要增加。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rPr>
        <w:t>5</w:t>
      </w:r>
      <w:r>
        <w:rPr>
          <w:rFonts w:ascii="仿宋" w:hAnsi="仿宋" w:eastAsia="仿宋" w:cs="仿宋"/>
          <w:color w:val="auto"/>
          <w:sz w:val="31"/>
          <w:u w:color="auto"/>
        </w:rPr>
        <w:t>.</w:t>
      </w:r>
      <w:r>
        <w:rPr>
          <w:rFonts w:hint="eastAsia" w:ascii="仿宋" w:hAnsi="仿宋" w:eastAsia="仿宋" w:cs="仿宋"/>
          <w:color w:val="auto"/>
          <w:sz w:val="31"/>
          <w:szCs w:val="31"/>
          <w:lang w:bidi="ar"/>
        </w:rPr>
        <w:t>住房保障支出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28.80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：信访局机关和</w:t>
      </w:r>
      <w:r>
        <w:rPr>
          <w:rFonts w:hint="eastAsia" w:ascii="仿宋" w:hAnsi="仿宋" w:eastAsia="仿宋" w:cs="仿宋"/>
          <w:color w:val="auto"/>
          <w:sz w:val="31"/>
          <w:szCs w:val="31"/>
          <w:highlight w:val="none"/>
          <w:lang w:val="en-US" w:eastAsia="zh-CN"/>
        </w:rPr>
        <w:t>二层</w:t>
      </w:r>
      <w:r>
        <w:rPr>
          <w:rFonts w:hint="eastAsia" w:ascii="仿宋" w:hAnsi="仿宋" w:eastAsia="仿宋" w:cs="仿宋"/>
          <w:color w:val="auto"/>
          <w:sz w:val="31"/>
          <w:szCs w:val="31"/>
          <w:highlight w:val="none"/>
          <w:lang w:eastAsia="zh-CN"/>
        </w:rPr>
        <w:t>事业单位</w:t>
      </w:r>
      <w:r>
        <w:rPr>
          <w:rFonts w:hint="eastAsia" w:ascii="仿宋" w:hAnsi="仿宋" w:eastAsia="仿宋" w:cs="仿宋"/>
          <w:color w:val="auto"/>
          <w:sz w:val="31"/>
          <w:szCs w:val="31"/>
          <w:highlight w:val="none"/>
          <w:lang w:val="en-US" w:eastAsia="zh-CN"/>
        </w:rPr>
        <w:t>在职人员按照国家政策规定为职工缴存的住房公积金支出</w:t>
      </w:r>
      <w:r>
        <w:rPr>
          <w:rFonts w:hint="eastAsia" w:ascii="仿宋" w:hAnsi="仿宋" w:eastAsia="仿宋" w:cs="仿宋"/>
          <w:color w:val="auto"/>
          <w:sz w:val="31"/>
          <w:szCs w:val="31"/>
          <w:shd w:val="clear" w:color="auto" w:fill="FFFFFF"/>
        </w:rPr>
        <w:t xml:space="preserve">，较2021年决算 </w:t>
      </w:r>
      <w:r>
        <w:rPr>
          <w:rFonts w:hint="eastAsia" w:ascii="仿宋" w:hAnsi="仿宋" w:eastAsia="仿宋" w:cs="仿宋"/>
          <w:color w:val="auto"/>
          <w:sz w:val="31"/>
          <w:szCs w:val="31"/>
          <w:lang w:bidi="ar"/>
        </w:rPr>
        <w:t>28.01</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增加0.79</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增长2.82%</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主要原因是：随工资福利支出增加而按比例相应增加的住房公积金缴存。</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结余分配</w:t>
      </w:r>
      <w:r>
        <w:rPr>
          <w:rFonts w:ascii="仿宋" w:hAnsi="仿宋" w:eastAsia="仿宋" w:cs="仿宋"/>
          <w:color w:val="auto"/>
          <w:sz w:val="31"/>
          <w:u w:color="auto"/>
        </w:rPr>
        <w:t>0.00万元，为事业单位按规定提取的专用结余、缴纳所得税和转入非财政拨款结余等。较2021年决算0.00万元增加0.00 万元，增长0%，</w:t>
      </w:r>
      <w:r>
        <w:rPr>
          <w:rFonts w:hint="eastAsia" w:ascii="仿宋" w:hAnsi="仿宋" w:eastAsia="仿宋" w:cs="仿宋"/>
          <w:color w:val="auto"/>
          <w:kern w:val="2"/>
          <w:sz w:val="31"/>
          <w:szCs w:val="31"/>
          <w:highlight w:val="none"/>
          <w:lang w:val="en-US" w:eastAsia="zh-CN" w:bidi="ar"/>
        </w:rPr>
        <w:t>主要原因是：按实际支付无结余。</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年末结转和结余</w:t>
      </w:r>
      <w:r>
        <w:rPr>
          <w:rFonts w:ascii="仿宋" w:hAnsi="仿宋" w:eastAsia="仿宋" w:cs="仿宋"/>
          <w:color w:val="auto"/>
          <w:sz w:val="31"/>
          <w:u w:color="auto"/>
        </w:rPr>
        <w:t>207.11万元，为本年度或以前年度预算安排、因客观条件发生变化无法按原计划实施，需要延迟到以后年度按有关规定继续使用的资金。较2021年决算207.11万元增加0.00 万元，增长0%，</w:t>
      </w:r>
      <w:r>
        <w:rPr>
          <w:rFonts w:hint="eastAsia" w:ascii="仿宋" w:hAnsi="仿宋" w:eastAsia="仿宋" w:cs="仿宋"/>
          <w:color w:val="auto"/>
          <w:kern w:val="2"/>
          <w:sz w:val="31"/>
          <w:szCs w:val="31"/>
          <w:highlight w:val="none"/>
          <w:lang w:val="en-US" w:eastAsia="zh-CN" w:bidi="ar"/>
        </w:rPr>
        <w:t>主要原因是： 按实际支付无结余。</w:t>
      </w:r>
    </w:p>
    <w:p>
      <w:pPr>
        <w:pStyle w:val="6"/>
        <w:widowControl/>
        <w:spacing w:before="450" w:beforeAutospacing="0" w:after="450" w:afterAutospacing="0" w:line="420" w:lineRule="atLeast"/>
        <w:ind w:firstLine="645"/>
        <w:rPr>
          <w:rFonts w:ascii="仿宋_GB2312" w:hAnsi="微软雅黑" w:eastAsia="仿宋_GB2312" w:cs="仿宋_GB2312"/>
          <w:color w:val="auto"/>
          <w:sz w:val="31"/>
          <w:szCs w:val="31"/>
          <w:u w:val="single"/>
          <w:shd w:val="clear" w:color="auto" w:fill="FFFFFF"/>
        </w:rPr>
      </w:pPr>
      <w:r>
        <w:rPr>
          <w:rFonts w:hint="eastAsia" w:ascii="黑体" w:hAnsi="宋体" w:eastAsia="黑体" w:cs="黑体"/>
          <w:color w:val="auto"/>
          <w:sz w:val="32"/>
          <w:szCs w:val="32"/>
          <w:shd w:val="clear" w:color="auto" w:fill="FFFFFF"/>
        </w:rPr>
        <w:t>二、2022年度一般公共预算财政拨款支出决算情况</w:t>
      </w:r>
    </w:p>
    <w:p>
      <w:pPr>
        <w:pStyle w:val="6"/>
        <w:widowControl/>
        <w:spacing w:before="450" w:beforeAutospacing="0" w:after="450" w:afterAutospacing="0" w:line="420" w:lineRule="atLeast"/>
        <w:ind w:left="309" w:leftChars="147"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u w:val="single"/>
          <w:shd w:val="clear" w:color="auto" w:fill="FFFFFF"/>
        </w:rPr>
        <w:t>中共百色市委员会百色市人民政府信访局（汇总）</w:t>
      </w:r>
      <w:r>
        <w:rPr>
          <w:rFonts w:hint="eastAsia" w:ascii="仿宋" w:hAnsi="仿宋" w:eastAsia="仿宋" w:cs="仿宋"/>
          <w:color w:val="auto"/>
          <w:sz w:val="31"/>
          <w:szCs w:val="31"/>
          <w:shd w:val="clear" w:color="auto" w:fill="FFFFFF"/>
        </w:rPr>
        <w:t>2022年度一般公共预算财政拨款支出</w:t>
      </w:r>
      <w:r>
        <w:rPr>
          <w:rFonts w:hint="eastAsia" w:ascii="仿宋" w:hAnsi="仿宋" w:eastAsia="仿宋" w:cs="仿宋"/>
          <w:color w:val="auto"/>
          <w:sz w:val="31"/>
          <w:szCs w:val="31"/>
        </w:rPr>
        <w:t>1376.60</w:t>
      </w:r>
      <w:r>
        <w:rPr>
          <w:rFonts w:hint="eastAsia" w:ascii="仿宋" w:hAnsi="仿宋" w:eastAsia="仿宋" w:cs="仿宋"/>
          <w:color w:val="auto"/>
          <w:sz w:val="31"/>
          <w:szCs w:val="31"/>
          <w:shd w:val="clear" w:color="auto" w:fill="FFFFFF"/>
        </w:rPr>
        <w:t>万元，较2021年度决算数</w:t>
      </w:r>
      <w:r>
        <w:rPr>
          <w:rFonts w:hint="eastAsia" w:ascii="仿宋" w:hAnsi="仿宋" w:eastAsia="仿宋" w:cs="仿宋"/>
          <w:color w:val="auto"/>
          <w:sz w:val="31"/>
          <w:szCs w:val="31"/>
          <w:highlight w:val="none"/>
        </w:rPr>
        <w:t>1228.01</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rPr>
        <w:t>增加148.59</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rPr>
        <w:t>增长12.10%</w:t>
      </w:r>
      <w:r>
        <w:rPr>
          <w:rFonts w:hint="eastAsia" w:ascii="仿宋" w:hAnsi="仿宋" w:eastAsia="仿宋" w:cs="仿宋"/>
          <w:color w:val="auto"/>
          <w:sz w:val="31"/>
          <w:szCs w:val="31"/>
          <w:shd w:val="clear" w:color="auto" w:fill="FFFFFF"/>
        </w:rPr>
        <w:t> 。其中：基本支出</w:t>
      </w:r>
      <w:r>
        <w:rPr>
          <w:rFonts w:hint="eastAsia" w:ascii="仿宋" w:hAnsi="仿宋" w:eastAsia="仿宋" w:cs="仿宋"/>
          <w:color w:val="auto"/>
          <w:sz w:val="31"/>
          <w:szCs w:val="31"/>
        </w:rPr>
        <w:t>432.32</w:t>
      </w:r>
      <w:r>
        <w:rPr>
          <w:rFonts w:hint="eastAsia" w:ascii="仿宋" w:hAnsi="仿宋" w:eastAsia="仿宋" w:cs="仿宋"/>
          <w:color w:val="auto"/>
          <w:sz w:val="31"/>
          <w:szCs w:val="31"/>
          <w:shd w:val="clear" w:color="auto" w:fill="FFFFFF"/>
        </w:rPr>
        <w:t>万元，项目支出</w:t>
      </w:r>
      <w:r>
        <w:rPr>
          <w:rFonts w:hint="eastAsia" w:ascii="仿宋" w:hAnsi="仿宋" w:eastAsia="仿宋" w:cs="仿宋"/>
          <w:color w:val="auto"/>
          <w:sz w:val="31"/>
          <w:szCs w:val="31"/>
        </w:rPr>
        <w:t>737.17</w:t>
      </w:r>
      <w:r>
        <w:rPr>
          <w:rFonts w:hint="eastAsia" w:ascii="仿宋" w:hAnsi="仿宋" w:eastAsia="仿宋" w:cs="仿宋"/>
          <w:color w:val="auto"/>
          <w:sz w:val="31"/>
          <w:szCs w:val="31"/>
          <w:shd w:val="clear" w:color="auto" w:fill="FFFFFF"/>
        </w:rPr>
        <w:t xml:space="preserve"> 万元。</w:t>
      </w:r>
    </w:p>
    <w:p>
      <w:pPr>
        <w:pStyle w:val="6"/>
        <w:widowControl/>
        <w:spacing w:before="450" w:beforeAutospacing="0" w:after="450" w:afterAutospacing="0" w:line="420" w:lineRule="atLeast"/>
        <w:ind w:firstLine="630"/>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u w:val="single"/>
          <w:shd w:val="clear" w:color="auto" w:fill="FFFFFF"/>
        </w:rPr>
        <w:t>中共百色市委员会百色市人民政府信访局（汇总）</w:t>
      </w:r>
      <w:r>
        <w:rPr>
          <w:rFonts w:hint="eastAsia" w:ascii="仿宋" w:hAnsi="仿宋" w:eastAsia="仿宋" w:cs="仿宋"/>
          <w:color w:val="auto"/>
          <w:sz w:val="31"/>
          <w:szCs w:val="31"/>
          <w:shd w:val="clear" w:color="auto" w:fill="FFFFFF"/>
        </w:rPr>
        <w:t>2022年度一般公共预算财政拨款支出年初预算为</w:t>
      </w:r>
      <w:r>
        <w:rPr>
          <w:rFonts w:hint="eastAsia" w:ascii="仿宋" w:hAnsi="仿宋" w:eastAsia="仿宋" w:cs="仿宋"/>
          <w:color w:val="auto"/>
          <w:sz w:val="31"/>
          <w:szCs w:val="31"/>
        </w:rPr>
        <w:t>448.21</w:t>
      </w:r>
      <w:r>
        <w:rPr>
          <w:rFonts w:hint="eastAsia" w:ascii="仿宋" w:hAnsi="仿宋" w:eastAsia="仿宋" w:cs="仿宋"/>
          <w:color w:val="auto"/>
          <w:sz w:val="31"/>
          <w:szCs w:val="31"/>
          <w:shd w:val="clear" w:color="auto" w:fill="FFFFFF"/>
        </w:rPr>
        <w:t>万元，支出决算为</w:t>
      </w:r>
      <w:r>
        <w:rPr>
          <w:rFonts w:hint="eastAsia" w:ascii="仿宋" w:hAnsi="仿宋" w:eastAsia="仿宋" w:cs="仿宋"/>
          <w:color w:val="auto"/>
          <w:sz w:val="31"/>
          <w:szCs w:val="31"/>
        </w:rPr>
        <w:t>1376.60</w:t>
      </w:r>
      <w:r>
        <w:rPr>
          <w:rFonts w:hint="eastAsia" w:ascii="仿宋" w:hAnsi="仿宋" w:eastAsia="仿宋" w:cs="仿宋"/>
          <w:color w:val="auto"/>
          <w:sz w:val="31"/>
          <w:szCs w:val="31"/>
          <w:shd w:val="clear" w:color="auto" w:fill="FFFFFF"/>
        </w:rPr>
        <w:t>万元，完成年初预算的</w:t>
      </w:r>
      <w:r>
        <w:rPr>
          <w:rFonts w:hint="eastAsia" w:ascii="仿宋" w:hAnsi="仿宋" w:eastAsia="仿宋" w:cs="仿宋"/>
          <w:color w:val="auto"/>
          <w:sz w:val="31"/>
          <w:szCs w:val="31"/>
        </w:rPr>
        <w:t>307.13%</w:t>
      </w:r>
      <w:r>
        <w:rPr>
          <w:rFonts w:hint="eastAsia" w:ascii="仿宋" w:hAnsi="仿宋" w:eastAsia="仿宋" w:cs="仿宋"/>
          <w:color w:val="auto"/>
          <w:sz w:val="31"/>
          <w:szCs w:val="31"/>
          <w:shd w:val="clear" w:color="auto" w:fill="FFFFFF"/>
        </w:rPr>
        <w:t>。</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sz w:val="31"/>
          <w:szCs w:val="31"/>
          <w:highlight w:val="none"/>
          <w:lang w:val="en-US" w:eastAsia="zh-CN"/>
        </w:rPr>
      </w:pPr>
      <w:r>
        <w:rPr>
          <w:rFonts w:ascii="仿宋" w:hAnsi="仿宋" w:eastAsia="仿宋" w:cs="仿宋"/>
          <w:color w:val="auto"/>
          <w:sz w:val="31"/>
          <w:u w:color="auto"/>
        </w:rPr>
        <w:t>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一般公共服务支出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行政运行</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130.29</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202.20</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155.19%</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highlight w:val="none"/>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原因是：在职</w:t>
      </w:r>
      <w:r>
        <w:rPr>
          <w:rFonts w:hint="eastAsia" w:ascii="仿宋" w:hAnsi="仿宋" w:eastAsia="仿宋" w:cs="仿宋"/>
          <w:color w:val="auto"/>
          <w:sz w:val="31"/>
          <w:szCs w:val="31"/>
          <w:highlight w:val="none"/>
        </w:rPr>
        <w:t>人员正常</w:t>
      </w:r>
      <w:r>
        <w:rPr>
          <w:rFonts w:hint="eastAsia" w:ascii="仿宋" w:hAnsi="仿宋" w:eastAsia="仿宋" w:cs="仿宋"/>
          <w:color w:val="auto"/>
          <w:sz w:val="31"/>
          <w:szCs w:val="31"/>
          <w:highlight w:val="none"/>
          <w:lang w:val="en-US" w:eastAsia="zh-CN"/>
        </w:rPr>
        <w:t>晋级晋职</w:t>
      </w:r>
      <w:r>
        <w:rPr>
          <w:rFonts w:hint="eastAsia" w:ascii="仿宋" w:hAnsi="仿宋" w:eastAsia="仿宋" w:cs="仿宋"/>
          <w:color w:val="auto"/>
          <w:sz w:val="31"/>
          <w:szCs w:val="31"/>
          <w:highlight w:val="none"/>
        </w:rPr>
        <w:t>增加人员经费</w:t>
      </w:r>
      <w:r>
        <w:rPr>
          <w:rFonts w:hint="default" w:ascii="仿宋" w:hAnsi="仿宋" w:eastAsia="仿宋" w:cs="仿宋"/>
          <w:color w:val="auto"/>
          <w:sz w:val="31"/>
          <w:szCs w:val="31"/>
          <w:highlight w:val="none"/>
        </w:rPr>
        <w:t>等人员经费支出</w:t>
      </w:r>
      <w:r>
        <w:rPr>
          <w:rFonts w:hint="eastAsia" w:ascii="仿宋" w:hAnsi="仿宋" w:eastAsia="仿宋" w:cs="仿宋"/>
          <w:color w:val="auto"/>
          <w:sz w:val="31"/>
          <w:szCs w:val="31"/>
          <w:highlight w:val="none"/>
          <w:lang w:val="en-US" w:eastAsia="zh-CN"/>
        </w:rPr>
        <w:t>和</w:t>
      </w:r>
      <w:r>
        <w:rPr>
          <w:rFonts w:hint="default" w:ascii="仿宋" w:hAnsi="仿宋" w:eastAsia="仿宋" w:cs="仿宋"/>
          <w:color w:val="auto"/>
          <w:sz w:val="31"/>
          <w:szCs w:val="31"/>
          <w:highlight w:val="none"/>
        </w:rPr>
        <w:t>局机关为保证日常运转发生的基本支出</w:t>
      </w:r>
      <w:r>
        <w:rPr>
          <w:rFonts w:hint="eastAsia" w:ascii="仿宋" w:hAnsi="仿宋" w:eastAsia="仿宋" w:cs="仿宋"/>
          <w:color w:val="auto"/>
          <w:sz w:val="31"/>
          <w:szCs w:val="31"/>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ascii="仿宋" w:hAnsi="仿宋" w:eastAsia="仿宋" w:cs="仿宋"/>
          <w:color w:val="auto"/>
          <w:sz w:val="31"/>
          <w:u w:color="auto"/>
        </w:rPr>
        <w:t>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一般公共服务支出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信访事务</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159.25</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737.17</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462.90%</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highlight w:val="none"/>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原因是：预算只列入项目经费，决算时计算项目经费和人员合计数导致差异，</w:t>
      </w:r>
      <w:r>
        <w:rPr>
          <w:rFonts w:hint="eastAsia" w:ascii="仿宋" w:hAnsi="仿宋" w:eastAsia="仿宋" w:cs="仿宋"/>
          <w:color w:val="auto"/>
          <w:kern w:val="2"/>
          <w:sz w:val="31"/>
          <w:szCs w:val="31"/>
          <w:highlight w:val="none"/>
          <w:lang w:val="en-US" w:eastAsia="zh-CN" w:bidi="ar"/>
        </w:rPr>
        <w:t>年度内按实际情况支出。</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ascii="仿宋" w:hAnsi="仿宋" w:eastAsia="仿宋" w:cs="仿宋"/>
          <w:color w:val="auto"/>
          <w:sz w:val="31"/>
          <w:u w:color="auto"/>
        </w:rPr>
        <w:t>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一般公共服务支出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事业运行</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63.91</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100.64</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157.47%</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年度内按实际情况增支。</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ascii="仿宋" w:hAnsi="仿宋" w:eastAsia="仿宋" w:cs="仿宋"/>
          <w:color w:val="auto"/>
          <w:sz w:val="31"/>
          <w:u w:color="auto"/>
        </w:rPr>
        <w:t>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一般公共服务支出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其他政府办公厅（室）及相关机构事务支出</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12.17</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12.17</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100.00%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年度内按实际情况支出。</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ascii="仿宋" w:hAnsi="仿宋" w:eastAsia="仿宋" w:cs="仿宋"/>
          <w:color w:val="auto"/>
          <w:sz w:val="31"/>
          <w:u w:color="auto"/>
        </w:rPr>
        <w:t>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社会保障和就业支出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行政单位离退休</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4.36</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19.26</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441.74%</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年度内有机关退休人员过世，按国家政策规定支付相关费用。</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ascii="仿宋" w:hAnsi="仿宋" w:eastAsia="仿宋" w:cs="仿宋"/>
          <w:color w:val="auto"/>
          <w:sz w:val="31"/>
          <w:u w:color="auto"/>
        </w:rPr>
        <w:t>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社会保障和就业支出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机关事业单位基本养老保险缴费支出</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36.07</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22.11</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61.30%</w:t>
      </w:r>
      <w:r>
        <w:rPr>
          <w:rFonts w:hint="eastAsia" w:ascii="仿宋" w:hAnsi="仿宋" w:eastAsia="仿宋" w:cs="仿宋"/>
          <w:color w:val="auto"/>
          <w:sz w:val="31"/>
          <w:u w:color="auto"/>
          <w:lang w:eastAsia="zh-CN"/>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年度内按实际情况支付。</w:t>
      </w:r>
    </w:p>
    <w:p>
      <w:pPr>
        <w:keepNext w:val="0"/>
        <w:keepLines w:val="0"/>
        <w:pageBreakBefore w:val="0"/>
        <w:widowControl w:val="0"/>
        <w:numPr>
          <w:ilvl w:val="0"/>
          <w:numId w:val="2"/>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ascii="仿宋" w:hAnsi="仿宋" w:eastAsia="仿宋" w:cs="仿宋"/>
          <w:color w:val="auto"/>
          <w:sz w:val="31"/>
          <w:u w:color="auto"/>
        </w:rPr>
        <w:t>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社会保障和就业支出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机关事业单位职业年金缴费支出</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0.00</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6.47</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100%</w:t>
      </w:r>
      <w:r>
        <w:rPr>
          <w:rFonts w:hint="eastAsia" w:ascii="仿宋" w:hAnsi="仿宋" w:eastAsia="仿宋" w:cs="仿宋"/>
          <w:color w:val="auto"/>
          <w:sz w:val="31"/>
          <w:szCs w:val="31"/>
          <w:shd w:val="clear" w:color="auto" w:fill="FFFFFF"/>
          <w:lang w:eastAsia="zh-CN"/>
        </w:rPr>
        <w:t>，</w:t>
      </w:r>
      <w:r>
        <w:rPr>
          <w:rFonts w:hint="eastAsia" w:ascii="仿宋" w:hAnsi="仿宋" w:eastAsia="仿宋" w:cs="仿宋"/>
          <w:color w:val="auto"/>
          <w:kern w:val="2"/>
          <w:sz w:val="31"/>
          <w:szCs w:val="31"/>
          <w:highlight w:val="none"/>
          <w:lang w:val="en-US" w:eastAsia="zh-CN" w:bidi="ar"/>
        </w:rPr>
        <w:t>年度内按实际情况支付，无差异。</w:t>
      </w:r>
    </w:p>
    <w:p>
      <w:pPr>
        <w:keepNext w:val="0"/>
        <w:keepLines w:val="0"/>
        <w:pageBreakBefore w:val="0"/>
        <w:widowControl w:val="0"/>
        <w:numPr>
          <w:numId w:val="0"/>
        </w:numPr>
        <w:kinsoku/>
        <w:wordWrap/>
        <w:overflowPunct/>
        <w:topLinePunct w:val="0"/>
        <w:autoSpaceDE/>
        <w:autoSpaceDN/>
        <w:bidi w:val="0"/>
        <w:adjustRightInd/>
        <w:snapToGrid/>
        <w:ind w:left="155" w:leftChars="0"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8)社会保障和就业支出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社会保障和就业支出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死亡抚恤</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0.00</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25.58</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100%</w:t>
      </w:r>
      <w:r>
        <w:rPr>
          <w:rFonts w:hint="eastAsia" w:ascii="仿宋" w:hAnsi="仿宋" w:eastAsia="仿宋" w:cs="仿宋"/>
          <w:color w:val="auto"/>
          <w:sz w:val="31"/>
          <w:u w:color="auto"/>
          <w:lang w:eastAsia="zh-CN"/>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年度内有机关退休人员过世，按国家政策规定支付相关费用。</w:t>
      </w:r>
    </w:p>
    <w:p>
      <w:pPr>
        <w:keepNext w:val="0"/>
        <w:keepLines w:val="0"/>
        <w:pageBreakBefore w:val="0"/>
        <w:widowControl w:val="0"/>
        <w:numPr>
          <w:numId w:val="0"/>
        </w:numPr>
        <w:kinsoku/>
        <w:wordWrap/>
        <w:overflowPunct/>
        <w:topLinePunct w:val="0"/>
        <w:autoSpaceDE/>
        <w:autoSpaceDN/>
        <w:bidi w:val="0"/>
        <w:adjustRightInd/>
        <w:snapToGrid/>
        <w:ind w:left="155" w:leftChars="0" w:firstLine="620" w:firstLineChars="200"/>
        <w:jc w:val="left"/>
        <w:textAlignment w:val="auto"/>
        <w:rPr>
          <w:rFonts w:hint="default" w:ascii="仿宋" w:hAnsi="仿宋" w:eastAsia="仿宋" w:cs="仿宋"/>
          <w:color w:val="auto"/>
          <w:sz w:val="31"/>
          <w:szCs w:val="31"/>
          <w:highlight w:val="none"/>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9)卫生健康支出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卫生健康支出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行政单位医疗</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7.26</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11.17</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153.86%</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sz w:val="31"/>
          <w:szCs w:val="31"/>
          <w:highlight w:val="none"/>
        </w:rPr>
        <w:t>随工资福利支出增加而按比例相应增加的</w:t>
      </w:r>
      <w:r>
        <w:rPr>
          <w:rFonts w:hint="default" w:ascii="仿宋" w:hAnsi="仿宋" w:eastAsia="仿宋" w:cs="仿宋"/>
          <w:color w:val="auto"/>
          <w:sz w:val="31"/>
          <w:szCs w:val="31"/>
          <w:highlight w:val="none"/>
        </w:rPr>
        <w:t>行政单位医疗保险缴费。主要用于单位</w:t>
      </w:r>
      <w:r>
        <w:rPr>
          <w:rFonts w:hint="eastAsia" w:ascii="仿宋" w:hAnsi="仿宋" w:eastAsia="仿宋" w:cs="仿宋"/>
          <w:color w:val="auto"/>
          <w:sz w:val="31"/>
          <w:szCs w:val="31"/>
          <w:highlight w:val="none"/>
          <w:lang w:val="en-US" w:eastAsia="zh-CN"/>
        </w:rPr>
        <w:t>职工</w:t>
      </w:r>
      <w:r>
        <w:rPr>
          <w:rFonts w:hint="default" w:ascii="仿宋" w:hAnsi="仿宋" w:eastAsia="仿宋" w:cs="仿宋"/>
          <w:color w:val="auto"/>
          <w:sz w:val="31"/>
          <w:szCs w:val="31"/>
          <w:highlight w:val="none"/>
        </w:rPr>
        <w:t>医疗保障支出。</w:t>
      </w:r>
    </w:p>
    <w:p>
      <w:pPr>
        <w:keepNext w:val="0"/>
        <w:keepLines w:val="0"/>
        <w:pageBreakBefore w:val="0"/>
        <w:widowControl w:val="0"/>
        <w:numPr>
          <w:numId w:val="0"/>
        </w:numPr>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10)卫生健康支出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卫生健康支出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公务员医疗补助</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3.92</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3.92</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100.00%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年度内按实际情况支付，无差异。</w:t>
      </w:r>
    </w:p>
    <w:p>
      <w:pPr>
        <w:keepNext w:val="0"/>
        <w:keepLines w:val="0"/>
        <w:pageBreakBefore w:val="0"/>
        <w:widowControl w:val="0"/>
        <w:numPr>
          <w:numId w:val="0"/>
        </w:numPr>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11)住房保障支出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住房保障支出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住房公积金</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27.06</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28.80</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106.43%</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随工资福利支出增加而按比例相应增加的住房公积金缴存，年度内按实际情况增支。</w:t>
      </w:r>
    </w:p>
    <w:p>
      <w:pPr>
        <w:pStyle w:val="6"/>
        <w:widowControl/>
        <w:spacing w:before="450" w:beforeAutospacing="0" w:after="450" w:afterAutospacing="0" w:line="420" w:lineRule="atLeast"/>
        <w:ind w:firstLine="645"/>
        <w:rPr>
          <w:color w:val="auto"/>
          <w:sz w:val="32"/>
          <w:szCs w:val="32"/>
        </w:rPr>
      </w:pPr>
      <w:r>
        <w:rPr>
          <w:rFonts w:hint="eastAsia" w:ascii="黑体" w:hAnsi="宋体" w:eastAsia="黑体" w:cs="黑体"/>
          <w:color w:val="auto"/>
          <w:sz w:val="32"/>
          <w:szCs w:val="32"/>
          <w:shd w:val="clear" w:color="auto" w:fill="FFFFFF"/>
        </w:rPr>
        <w:t>三、2022年度一般公共预算财政拨款基本支出决算情况说明</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2022年度一般公共预算财政拨款基本支出</w:t>
      </w:r>
      <w:r>
        <w:rPr>
          <w:rFonts w:hint="eastAsia" w:ascii="仿宋" w:hAnsi="仿宋" w:eastAsia="仿宋" w:cs="仿宋"/>
          <w:color w:val="auto"/>
          <w:sz w:val="31"/>
          <w:szCs w:val="31"/>
        </w:rPr>
        <w:t>432.32</w:t>
      </w:r>
      <w:r>
        <w:rPr>
          <w:rFonts w:hint="eastAsia" w:ascii="仿宋" w:hAnsi="仿宋" w:eastAsia="仿宋" w:cs="仿宋"/>
          <w:color w:val="auto"/>
          <w:sz w:val="31"/>
          <w:szCs w:val="31"/>
          <w:shd w:val="clear" w:color="auto" w:fill="FFFFFF"/>
        </w:rPr>
        <w:t>万元，其中：人员经费支出</w:t>
      </w:r>
      <w:r>
        <w:rPr>
          <w:rFonts w:hint="eastAsia" w:ascii="仿宋" w:hAnsi="仿宋" w:eastAsia="仿宋" w:cs="仿宋"/>
          <w:color w:val="auto"/>
          <w:sz w:val="31"/>
          <w:szCs w:val="31"/>
        </w:rPr>
        <w:t>396.62</w:t>
      </w:r>
      <w:r>
        <w:rPr>
          <w:rFonts w:hint="eastAsia" w:ascii="仿宋" w:hAnsi="仿宋" w:eastAsia="仿宋" w:cs="仿宋"/>
          <w:color w:val="auto"/>
          <w:sz w:val="31"/>
          <w:szCs w:val="31"/>
          <w:shd w:val="clear" w:color="auto" w:fill="FFFFFF"/>
        </w:rPr>
        <w:t>万元，公用经费支出</w:t>
      </w:r>
      <w:r>
        <w:rPr>
          <w:rFonts w:hint="eastAsia" w:ascii="仿宋" w:hAnsi="仿宋" w:eastAsia="仿宋" w:cs="仿宋"/>
          <w:color w:val="auto"/>
          <w:sz w:val="31"/>
          <w:szCs w:val="31"/>
        </w:rPr>
        <w:t>35.70</w:t>
      </w:r>
      <w:r>
        <w:rPr>
          <w:rFonts w:hint="eastAsia" w:ascii="仿宋" w:hAnsi="仿宋" w:eastAsia="仿宋" w:cs="仿宋"/>
          <w:color w:val="auto"/>
          <w:sz w:val="31"/>
          <w:szCs w:val="31"/>
          <w:shd w:val="clear" w:color="auto" w:fill="FFFFFF"/>
        </w:rPr>
        <w:t>万元，支出具体情况如下：</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1)工资福利支出266.68万元，完成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116.23%，</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原因是：在职</w:t>
      </w:r>
      <w:r>
        <w:rPr>
          <w:rFonts w:hint="eastAsia" w:ascii="仿宋" w:hAnsi="仿宋" w:eastAsia="仿宋" w:cs="仿宋"/>
          <w:color w:val="auto"/>
          <w:sz w:val="31"/>
          <w:szCs w:val="31"/>
          <w:highlight w:val="none"/>
        </w:rPr>
        <w:t>人员正常</w:t>
      </w:r>
      <w:r>
        <w:rPr>
          <w:rFonts w:hint="eastAsia" w:ascii="仿宋" w:hAnsi="仿宋" w:eastAsia="仿宋" w:cs="仿宋"/>
          <w:color w:val="auto"/>
          <w:sz w:val="31"/>
          <w:szCs w:val="31"/>
          <w:highlight w:val="none"/>
          <w:lang w:val="en-US" w:eastAsia="zh-CN"/>
        </w:rPr>
        <w:t>晋级晋职</w:t>
      </w:r>
      <w:r>
        <w:rPr>
          <w:rFonts w:hint="eastAsia" w:ascii="仿宋" w:hAnsi="仿宋" w:eastAsia="仿宋" w:cs="仿宋"/>
          <w:color w:val="auto"/>
          <w:sz w:val="31"/>
          <w:szCs w:val="31"/>
          <w:highlight w:val="none"/>
        </w:rPr>
        <w:t>增加人员经费</w:t>
      </w:r>
      <w:r>
        <w:rPr>
          <w:rFonts w:hint="default" w:ascii="仿宋" w:hAnsi="仿宋" w:eastAsia="仿宋" w:cs="仿宋"/>
          <w:color w:val="auto"/>
          <w:sz w:val="31"/>
          <w:szCs w:val="31"/>
          <w:highlight w:val="none"/>
        </w:rPr>
        <w:t>等人员经费支出</w:t>
      </w:r>
      <w:r>
        <w:rPr>
          <w:rFonts w:hint="eastAsia" w:ascii="仿宋" w:hAnsi="仿宋" w:eastAsia="仿宋" w:cs="仿宋"/>
          <w:color w:val="auto"/>
          <w:kern w:val="2"/>
          <w:sz w:val="31"/>
          <w:szCs w:val="31"/>
          <w:highlight w:val="none"/>
          <w:lang w:val="en-US" w:eastAsia="zh-CN" w:bidi="ar"/>
        </w:rPr>
        <w:t>，年度内按实际情况调整。</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30101基本工资180.33万元，30102津贴补贴0.00万元，30103奖金0.00万元，30106伙食补助费8.00万元，30107绩效工资0.00万元，30108机关事业单位基本养老保险缴费22.11万元，30109职业年金缴费6.47万元，30110职工基本医疗保险缴费11.17万元，30111公务员医疗补助缴费3.92万元，30112其他社会保障缴费0.26万元，30113住房公积金28.80万元，30114医疗费0.00万元，30199其他工资福利支出5.61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2)商品和服务支出35.70万元，完成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82.91%，</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原因是：贯彻落实过紧日子要求压减部分公用经费支出</w:t>
      </w:r>
      <w:r>
        <w:rPr>
          <w:rFonts w:hint="eastAsia" w:ascii="仿宋" w:hAnsi="仿宋" w:eastAsia="仿宋" w:cs="仿宋"/>
          <w:color w:val="auto"/>
          <w:kern w:val="2"/>
          <w:sz w:val="31"/>
          <w:szCs w:val="31"/>
          <w:highlight w:val="none"/>
          <w:lang w:val="en-US" w:eastAsia="zh-CN" w:bidi="ar"/>
        </w:rPr>
        <w:t xml:space="preserve">，年度内按实际情况支付。  </w:t>
      </w: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30201办公费17.38万元，30202印刷费0.00万元，30203咨询费0.00万元，30204手续费0.00万元，30205水费0.00万元，30206电费0.00万元，30207邮电费0.00万元，30208取暖费0.00万元，30209物业管理费0.00万元，30211差旅费0.00万元，30212因公出国（境）费用0.00万元，30213维修（护）费0.00万元，30214租赁费0.00万元，30215会议费0.00万元，30216培训费0.00万元，30217公务接待费0.00万元，30218专用材料费0.00万元，30224被装购置费0.00万元，30225专用燃料费0.00万元，30226劳务费0.00万元，30227委托业务费0.00万元，30228工会经费0.00万元，30229福利费18.32万元，30231公务用车运行维护费0.00万元，30239其他交通费用0.00万元，30240税金及附加费用0.00万元，30299其他商品和服务支出0.00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3)对个人和家庭的补助129.94万元，完成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3035.98%，</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年度内有机关退休人员过世，按国家政策规定支付相关费用。</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w:t>
      </w:r>
      <w:bookmarkStart w:id="4" w:name="_GoBack"/>
      <w:bookmarkEnd w:id="4"/>
      <w:r>
        <w:rPr>
          <w:rFonts w:hint="eastAsia" w:ascii="仿宋" w:hAnsi="仿宋" w:eastAsia="仿宋" w:cs="仿宋"/>
          <w:color w:val="auto"/>
          <w:sz w:val="31"/>
          <w:szCs w:val="31"/>
          <w:shd w:val="clear" w:color="auto" w:fill="FFFFFF"/>
        </w:rPr>
        <w:t>中：</w:t>
      </w:r>
      <w:r>
        <w:rPr>
          <w:rFonts w:ascii="仿宋" w:hAnsi="仿宋" w:eastAsia="仿宋" w:cs="仿宋"/>
          <w:color w:val="auto"/>
          <w:sz w:val="31"/>
          <w:u w:color="auto"/>
        </w:rPr>
        <w:t>30301离休费0.00万元，30302退休费1.08万元，30303退职（役）费0.00万元，30304抚恤金25.58万元，30305生活补助8.70万元，30306救济费0.00万元，30307医疗费补助13.93万元，30308助学金0.00万元，30309奖励金80.65万元，30310个人农业生产补贴0.00万元，30311代缴社会保险费0.00万元，30399其他对个人和家庭的补助0.00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4)债务利息及费用支出0.00万元，完成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0%，</w:t>
      </w:r>
      <w:r>
        <w:rPr>
          <w:rFonts w:hint="eastAsia" w:ascii="仿宋" w:hAnsi="仿宋" w:eastAsia="仿宋" w:cs="仿宋"/>
          <w:color w:val="auto"/>
          <w:kern w:val="2"/>
          <w:sz w:val="31"/>
          <w:szCs w:val="31"/>
          <w:highlight w:val="none"/>
          <w:lang w:val="en-US" w:eastAsia="zh-CN" w:bidi="ar"/>
        </w:rPr>
        <w:t>年度内无支出。</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30701国内债务付息0.00万元，30702国外债务付息0.00万元。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5)资本性支出0.00万元，完成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0%，</w:t>
      </w:r>
      <w:r>
        <w:rPr>
          <w:rFonts w:hint="eastAsia" w:ascii="仿宋" w:hAnsi="仿宋" w:eastAsia="仿宋" w:cs="仿宋"/>
          <w:color w:val="auto"/>
          <w:kern w:val="2"/>
          <w:sz w:val="31"/>
          <w:szCs w:val="31"/>
          <w:highlight w:val="none"/>
          <w:lang w:val="en-US" w:eastAsia="zh-CN" w:bidi="ar"/>
        </w:rPr>
        <w:t>年度内无支付。</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31001房屋建筑物购建0.00万元，31002办公设备购置0.00万元，31003专用设备购置0.00万元，31005基础设施建设0.00万元，31006大型修缮0.00万元，31007信息网络及软件购置更新0.00万元，31008物资储备0.00万元，31009土地补偿0.00万元，31010安置补助0.00万元，31011地上附着物和青苗补偿0.00万元，31012拆迁补偿0.00万元，31013公务用车购置0.00万元，31019其他交通工具购置0.00万元，31021文物和陈列品购置0.00万元，31022无形资产购置0.00万元，31099其他资本性支出0.00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6)其他支出0.00万元，完成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0%，</w:t>
      </w:r>
      <w:r>
        <w:rPr>
          <w:rFonts w:hint="eastAsia" w:ascii="仿宋" w:hAnsi="仿宋" w:eastAsia="仿宋" w:cs="仿宋"/>
          <w:color w:val="auto"/>
          <w:kern w:val="2"/>
          <w:sz w:val="31"/>
          <w:szCs w:val="31"/>
          <w:highlight w:val="none"/>
          <w:lang w:val="en-US" w:eastAsia="zh-CN" w:bidi="ar"/>
        </w:rPr>
        <w:t>年度内无支付。</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39907国家赔偿费用支出0.00万元，39908对民间非营利组织和群众性自治组织补贴0.00万元，39909经常性赠与0.00万元，39910资本性赠与0.00万元，39999其他支出0.00万元。</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四、2022年度政府性基金支出决算情况</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i w:val="0"/>
          <w:iCs w:val="0"/>
          <w:color w:val="auto"/>
          <w:sz w:val="31"/>
          <w:szCs w:val="31"/>
          <w:u w:val="single"/>
          <w:shd w:val="clear" w:color="auto" w:fill="FFFFFF"/>
        </w:rPr>
        <w:t>中共百色市委员会百色市人民政府信访局（汇总）</w:t>
      </w:r>
      <w:r>
        <w:rPr>
          <w:rFonts w:hint="eastAsia" w:ascii="仿宋" w:hAnsi="仿宋" w:eastAsia="仿宋" w:cs="仿宋"/>
          <w:i w:val="0"/>
          <w:iCs w:val="0"/>
          <w:color w:val="auto"/>
          <w:kern w:val="0"/>
          <w:sz w:val="31"/>
          <w:szCs w:val="31"/>
        </w:rPr>
        <w:t>2022年度政府性基</w:t>
      </w:r>
      <w:r>
        <w:rPr>
          <w:rFonts w:hint="eastAsia" w:ascii="仿宋" w:hAnsi="仿宋" w:eastAsia="仿宋" w:cs="仿宋"/>
          <w:color w:val="auto"/>
          <w:kern w:val="0"/>
          <w:sz w:val="31"/>
          <w:szCs w:val="31"/>
        </w:rPr>
        <w:t>金支出</w:t>
      </w:r>
      <w:r>
        <w:rPr>
          <w:rFonts w:ascii="仿宋" w:hAnsi="仿宋" w:eastAsia="仿宋" w:cs="仿宋"/>
          <w:color w:val="auto"/>
          <w:sz w:val="31"/>
          <w:u w:color="auto"/>
        </w:rPr>
        <w:t>254.23万元，较2021年度决算数增加254.23万元，增长100%。其中：基本支出0.00万元，项目支出254.23万元。</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sz w:val="31"/>
          <w:szCs w:val="31"/>
          <w:u w:val="single"/>
          <w:shd w:val="clear" w:color="auto" w:fill="FFFFFF"/>
        </w:rPr>
        <w:t>中共百色市委员会百色市人民政府信访局（汇总）</w:t>
      </w:r>
      <w:r>
        <w:rPr>
          <w:rFonts w:hint="eastAsia" w:ascii="仿宋" w:hAnsi="仿宋" w:eastAsia="仿宋" w:cs="仿宋"/>
          <w:color w:val="auto"/>
          <w:kern w:val="0"/>
          <w:sz w:val="31"/>
          <w:szCs w:val="31"/>
        </w:rPr>
        <w:t>2022 年度政府性基金支出年初预算为</w:t>
      </w:r>
      <w:r>
        <w:rPr>
          <w:rFonts w:ascii="仿宋" w:hAnsi="仿宋" w:eastAsia="仿宋" w:cs="仿宋"/>
          <w:color w:val="auto"/>
          <w:sz w:val="31"/>
          <w:u w:color="auto"/>
        </w:rPr>
        <w:t>0.00万元，支出决算为254.23万元，完成年初预算的100%。</w:t>
      </w:r>
    </w:p>
    <w:p>
      <w:pPr>
        <w:ind w:firstLine="620" w:firstLineChars="200"/>
        <w:rPr>
          <w:rFonts w:hint="eastAsia" w:ascii="仿宋" w:hAnsi="仿宋" w:eastAsia="仿宋" w:cs="仿宋"/>
          <w:color w:val="auto"/>
          <w:sz w:val="31"/>
          <w:szCs w:val="31"/>
          <w:lang w:eastAsia="zh-CN"/>
        </w:rPr>
      </w:pPr>
      <w:r>
        <w:rPr>
          <w:rFonts w:hint="eastAsia" w:ascii="仿宋" w:hAnsi="仿宋" w:eastAsia="仿宋" w:cs="仿宋"/>
          <w:color w:val="auto"/>
          <w:kern w:val="0"/>
          <w:sz w:val="31"/>
          <w:szCs w:val="31"/>
          <w:lang w:val="en-US" w:eastAsia="zh-CN" w:bidi="ar-SA"/>
        </w:rPr>
        <w:t>（</w:t>
      </w:r>
      <w:r>
        <w:rPr>
          <w:rFonts w:hint="eastAsia" w:ascii="仿宋" w:hAnsi="仿宋" w:eastAsia="仿宋" w:cs="仿宋"/>
          <w:color w:val="auto"/>
          <w:sz w:val="31"/>
          <w:szCs w:val="31"/>
          <w:shd w:val="clear" w:color="auto" w:fill="FFFFFF"/>
        </w:rPr>
        <w:t>1</w:t>
      </w:r>
      <w:r>
        <w:rPr>
          <w:rFonts w:hint="eastAsia" w:ascii="仿宋" w:hAnsi="仿宋" w:eastAsia="仿宋" w:cs="仿宋"/>
          <w:color w:val="auto"/>
          <w:kern w:val="0"/>
          <w:sz w:val="31"/>
          <w:szCs w:val="31"/>
          <w:lang w:val="en-US" w:eastAsia="zh-CN" w:bidi="ar-SA"/>
        </w:rPr>
        <w:t>）</w:t>
      </w:r>
      <w:r>
        <w:rPr>
          <w:rFonts w:hint="eastAsia" w:ascii="仿宋" w:hAnsi="仿宋" w:eastAsia="仿宋" w:cs="仿宋"/>
          <w:color w:val="auto"/>
          <w:kern w:val="0"/>
          <w:sz w:val="31"/>
          <w:szCs w:val="31"/>
          <w:lang w:val="en-US" w:eastAsia="zh-CN"/>
        </w:rPr>
        <w:t>城乡社区支出</w:t>
      </w:r>
      <w:r>
        <w:rPr>
          <w:rFonts w:hint="eastAsia" w:ascii="仿宋" w:hAnsi="仿宋" w:eastAsia="仿宋" w:cs="仿宋"/>
          <w:color w:val="auto"/>
          <w:kern w:val="0"/>
          <w:sz w:val="31"/>
          <w:szCs w:val="31"/>
        </w:rPr>
        <w:t>（类）年初预算为</w:t>
      </w:r>
      <w:r>
        <w:rPr>
          <w:rFonts w:hint="eastAsia" w:ascii="仿宋" w:hAnsi="仿宋" w:eastAsia="仿宋" w:cs="仿宋"/>
          <w:color w:val="auto"/>
          <w:kern w:val="0"/>
          <w:sz w:val="31"/>
          <w:szCs w:val="31"/>
          <w:lang w:val="en-US" w:eastAsia="zh-CN"/>
        </w:rPr>
        <w:t>0</w:t>
      </w:r>
      <w:r>
        <w:rPr>
          <w:rFonts w:hint="eastAsia" w:ascii="仿宋" w:hAnsi="仿宋" w:eastAsia="仿宋" w:cs="仿宋"/>
          <w:color w:val="auto"/>
          <w:kern w:val="0"/>
          <w:sz w:val="31"/>
          <w:szCs w:val="31"/>
        </w:rPr>
        <w:t>万元，支出决算为</w:t>
      </w:r>
      <w:r>
        <w:rPr>
          <w:rFonts w:hint="eastAsia" w:ascii="仿宋" w:hAnsi="仿宋" w:eastAsia="仿宋" w:cs="仿宋"/>
          <w:color w:val="auto"/>
          <w:kern w:val="0"/>
          <w:sz w:val="31"/>
          <w:szCs w:val="31"/>
          <w:lang w:val="en-US" w:eastAsia="zh-CN"/>
        </w:rPr>
        <w:t>254.23</w:t>
      </w:r>
      <w:r>
        <w:rPr>
          <w:rFonts w:hint="eastAsia" w:ascii="仿宋" w:hAnsi="仿宋" w:eastAsia="仿宋" w:cs="仿宋"/>
          <w:color w:val="auto"/>
          <w:kern w:val="0"/>
          <w:sz w:val="31"/>
          <w:szCs w:val="31"/>
        </w:rPr>
        <w:t>万元，完成年初预算的</w:t>
      </w:r>
      <w:r>
        <w:rPr>
          <w:rFonts w:hint="eastAsia" w:ascii="仿宋" w:hAnsi="仿宋" w:eastAsia="仿宋" w:cs="仿宋"/>
          <w:color w:val="auto"/>
          <w:kern w:val="0"/>
          <w:sz w:val="31"/>
          <w:szCs w:val="31"/>
          <w:lang w:val="en-US" w:eastAsia="zh-CN"/>
        </w:rPr>
        <w:t>100%</w:t>
      </w:r>
      <w:r>
        <w:rPr>
          <w:rFonts w:hint="eastAsia" w:ascii="仿宋" w:hAnsi="仿宋" w:eastAsia="仿宋" w:cs="仿宋"/>
          <w:color w:val="auto"/>
          <w:kern w:val="0"/>
          <w:sz w:val="31"/>
          <w:szCs w:val="31"/>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因群众信访服务中心建设项目建设需要，申请使用</w:t>
      </w:r>
      <w:r>
        <w:rPr>
          <w:rFonts w:hint="eastAsia" w:ascii="仿宋" w:hAnsi="仿宋" w:eastAsia="仿宋" w:cs="仿宋"/>
          <w:color w:val="auto"/>
          <w:sz w:val="31"/>
          <w:szCs w:val="31"/>
        </w:rPr>
        <w:t>政府性基金预算财政拨款</w:t>
      </w:r>
      <w:r>
        <w:rPr>
          <w:rFonts w:hint="eastAsia" w:ascii="仿宋" w:hAnsi="仿宋" w:eastAsia="仿宋" w:cs="仿宋"/>
          <w:color w:val="auto"/>
          <w:sz w:val="31"/>
          <w:szCs w:val="31"/>
          <w:lang w:eastAsia="zh-CN"/>
        </w:rPr>
        <w:t>资金。</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五、2022年度国有资本经营预算支出决算情况</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sz w:val="31"/>
          <w:szCs w:val="31"/>
          <w:u w:val="single"/>
          <w:shd w:val="clear" w:color="auto" w:fill="FFFFFF"/>
        </w:rPr>
        <w:t>中共百色市委员会百色市人民政府信访局（汇总）</w:t>
      </w:r>
      <w:r>
        <w:rPr>
          <w:rFonts w:hint="eastAsia" w:ascii="仿宋" w:hAnsi="仿宋" w:eastAsia="仿宋" w:cs="仿宋"/>
          <w:color w:val="auto"/>
          <w:kern w:val="0"/>
          <w:sz w:val="31"/>
          <w:szCs w:val="31"/>
        </w:rPr>
        <w:t>2022年度国有资本经营预算支出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万元。其中：基本支出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万元，项目支出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sz w:val="31"/>
          <w:szCs w:val="31"/>
          <w:u w:val="single"/>
          <w:shd w:val="clear" w:color="auto" w:fill="FFFFFF"/>
        </w:rPr>
        <w:t>中共百色市委员会百色市人民政府信访局（汇总）</w:t>
      </w:r>
      <w:r>
        <w:rPr>
          <w:rFonts w:hint="eastAsia" w:ascii="仿宋" w:hAnsi="仿宋" w:eastAsia="仿宋" w:cs="仿宋"/>
          <w:color w:val="auto"/>
          <w:kern w:val="0"/>
          <w:sz w:val="31"/>
          <w:szCs w:val="31"/>
        </w:rPr>
        <w:t>2022 年度国有资本经营预算支出年初预算为</w:t>
      </w:r>
      <w:r>
        <w:rPr>
          <w:rFonts w:ascii="仿宋" w:hAnsi="仿宋" w:eastAsia="仿宋" w:cs="仿宋"/>
          <w:color w:val="auto"/>
          <w:sz w:val="31"/>
          <w:u w:color="auto"/>
        </w:rPr>
        <w:t>0.00万元，支出决算为0.00万元，完成年初预算的0%</w:t>
      </w:r>
      <w:r>
        <w:rPr>
          <w:rFonts w:hint="eastAsia" w:ascii="仿宋" w:hAnsi="仿宋" w:eastAsia="仿宋" w:cs="仿宋"/>
          <w:color w:val="auto"/>
          <w:kern w:val="0"/>
          <w:sz w:val="31"/>
          <w:szCs w:val="31"/>
        </w:rPr>
        <w:t>。</w:t>
      </w:r>
      <w:r>
        <w:rPr>
          <w:rFonts w:hint="eastAsia" w:ascii="仿宋" w:hAnsi="仿宋" w:eastAsia="仿宋" w:cs="仿宋"/>
          <w:b w:val="0"/>
          <w:bCs w:val="0"/>
          <w:color w:val="auto"/>
          <w:kern w:val="0"/>
          <w:sz w:val="31"/>
          <w:szCs w:val="31"/>
          <w:lang w:val="en-US" w:eastAsia="zh-CN" w:bidi="ar"/>
        </w:rPr>
        <w:t>主要原因为：2022年度没有没有国有资本经营预算财政拨款收入，也没有国有资本经营预算财政拨款安排的支出，故无数据。</w:t>
      </w:r>
      <w:r>
        <w:rPr>
          <w:rFonts w:hint="eastAsia" w:ascii="仿宋" w:hAnsi="仿宋" w:eastAsia="仿宋" w:cs="仿宋"/>
          <w:color w:val="auto"/>
          <w:kern w:val="0"/>
          <w:sz w:val="31"/>
          <w:szCs w:val="31"/>
          <w:lang w:val="en-US" w:eastAsia="zh-CN" w:bidi="ar"/>
        </w:rPr>
        <w:t xml:space="preserve"> </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2022年度</w:t>
      </w:r>
      <w:r>
        <w:rPr>
          <w:rFonts w:hint="eastAsia" w:ascii="仿宋" w:hAnsi="仿宋" w:eastAsia="仿宋" w:cs="仿宋"/>
          <w:color w:val="auto"/>
          <w:sz w:val="31"/>
          <w:szCs w:val="31"/>
        </w:rPr>
        <w:t>一般</w:t>
      </w:r>
      <w:r>
        <w:rPr>
          <w:rFonts w:hint="eastAsia" w:ascii="仿宋" w:hAnsi="仿宋" w:eastAsia="仿宋" w:cs="仿宋"/>
          <w:color w:val="auto"/>
          <w:kern w:val="0"/>
          <w:sz w:val="31"/>
          <w:szCs w:val="31"/>
        </w:rPr>
        <w:t>公共预算财政拨款安排的“三公”经费支出</w:t>
      </w:r>
      <w:r>
        <w:rPr>
          <w:rFonts w:ascii="仿宋" w:hAnsi="仿宋" w:eastAsia="仿宋" w:cs="仿宋"/>
          <w:color w:val="auto"/>
          <w:sz w:val="31"/>
          <w:u w:color="auto"/>
        </w:rPr>
        <w:t>0.00万元，完成年初预算的0%，比上年增加0.00万元，</w:t>
      </w:r>
      <w:r>
        <w:rPr>
          <w:rFonts w:hint="eastAsia" w:ascii="仿宋" w:hAnsi="仿宋" w:eastAsia="仿宋" w:cs="仿宋"/>
          <w:color w:val="auto"/>
          <w:kern w:val="2"/>
          <w:sz w:val="31"/>
          <w:szCs w:val="31"/>
          <w:highlight w:val="none"/>
          <w:lang w:val="en-US" w:eastAsia="zh-CN" w:bidi="ar"/>
        </w:rPr>
        <w:t>原因是：没有申请预算没有支出。</w:t>
      </w:r>
      <w:r>
        <w:rPr>
          <w:rFonts w:hint="eastAsia" w:ascii="仿宋" w:hAnsi="仿宋" w:eastAsia="仿宋" w:cs="仿宋"/>
          <w:color w:val="auto"/>
          <w:kern w:val="0"/>
          <w:sz w:val="31"/>
          <w:szCs w:val="31"/>
        </w:rPr>
        <w:t>其中：因公出国（境）费支出决算</w:t>
      </w:r>
      <w:r>
        <w:rPr>
          <w:rFonts w:ascii="仿宋" w:hAnsi="仿宋" w:eastAsia="仿宋" w:cs="仿宋"/>
          <w:color w:val="auto"/>
          <w:sz w:val="31"/>
          <w:u w:color="auto"/>
        </w:rPr>
        <w:t>0.00万元，公务用车购置及运行费支出决算0.00万元，公务接待费支出决算0.00万元。</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具体情况如下：</w:t>
      </w:r>
    </w:p>
    <w:p>
      <w:pPr>
        <w:numPr>
          <w:ilvl w:val="0"/>
          <w:numId w:val="3"/>
        </w:numPr>
        <w:autoSpaceDE w:val="0"/>
        <w:autoSpaceDN w:val="0"/>
        <w:adjustRightInd w:val="0"/>
        <w:spacing w:line="560" w:lineRule="exact"/>
        <w:ind w:firstLine="620" w:firstLineChars="200"/>
        <w:jc w:val="left"/>
        <w:rPr>
          <w:rFonts w:hint="eastAsia" w:ascii="仿宋" w:hAnsi="仿宋" w:eastAsia="仿宋" w:cs="仿宋"/>
          <w:bCs/>
          <w:color w:val="auto"/>
          <w:sz w:val="31"/>
          <w:szCs w:val="31"/>
        </w:rPr>
      </w:pPr>
      <w:r>
        <w:rPr>
          <w:rFonts w:hint="eastAsia" w:ascii="仿宋" w:hAnsi="仿宋" w:eastAsia="仿宋" w:cs="仿宋"/>
          <w:color w:val="auto"/>
          <w:kern w:val="0"/>
          <w:sz w:val="31"/>
          <w:szCs w:val="31"/>
        </w:rPr>
        <w:t>因公出国（境）费支出</w:t>
      </w:r>
      <w:r>
        <w:rPr>
          <w:rFonts w:ascii="仿宋" w:hAnsi="仿宋" w:eastAsia="仿宋" w:cs="仿宋"/>
          <w:color w:val="auto"/>
          <w:sz w:val="31"/>
          <w:u w:color="auto"/>
        </w:rPr>
        <w:t>0.00万元，完成年初预算的0%</w:t>
      </w:r>
      <w:r>
        <w:rPr>
          <w:rFonts w:hint="eastAsia" w:ascii="仿宋" w:hAnsi="仿宋" w:eastAsia="仿宋" w:cs="仿宋"/>
          <w:color w:val="auto"/>
          <w:kern w:val="0"/>
          <w:sz w:val="31"/>
          <w:szCs w:val="31"/>
        </w:rPr>
        <w:t>，比上年</w:t>
      </w:r>
      <w:r>
        <w:rPr>
          <w:rFonts w:ascii="仿宋" w:hAnsi="仿宋" w:eastAsia="仿宋" w:cs="仿宋"/>
          <w:color w:val="auto"/>
          <w:sz w:val="31"/>
          <w:u w:color="auto"/>
        </w:rPr>
        <w:t>增加0.00万元，</w:t>
      </w:r>
      <w:r>
        <w:rPr>
          <w:rFonts w:hint="eastAsia" w:ascii="仿宋" w:hAnsi="仿宋" w:eastAsia="仿宋" w:cs="仿宋"/>
          <w:color w:val="auto"/>
          <w:kern w:val="2"/>
          <w:sz w:val="31"/>
          <w:szCs w:val="31"/>
          <w:highlight w:val="none"/>
          <w:lang w:val="en-US" w:eastAsia="zh-CN" w:bidi="ar"/>
        </w:rPr>
        <w:t>原因是：（请根实际情况自行补充原因）。</w:t>
      </w:r>
      <w:r>
        <w:rPr>
          <w:rFonts w:hint="eastAsia" w:ascii="仿宋" w:hAnsi="仿宋" w:eastAsia="仿宋" w:cs="仿宋"/>
          <w:color w:val="auto"/>
          <w:kern w:val="0"/>
          <w:sz w:val="31"/>
          <w:szCs w:val="31"/>
        </w:rPr>
        <w:t>全年使用财政拨款安排</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single"/>
          <w:lang w:val="en-US" w:eastAsia="zh-CN"/>
        </w:rPr>
        <w:t>0</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rPr>
        <w:t>（局、办、镇）机关、</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single"/>
          <w:lang w:val="en-US" w:eastAsia="zh-CN"/>
        </w:rPr>
        <w:t>0</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rPr>
        <w:t>个所属单位出国团组</w:t>
      </w:r>
      <w:r>
        <w:rPr>
          <w:rFonts w:hint="eastAsia" w:ascii="仿宋" w:hAnsi="仿宋" w:eastAsia="仿宋" w:cs="仿宋"/>
          <w:bCs/>
          <w:color w:val="auto"/>
          <w:sz w:val="31"/>
          <w:szCs w:val="31"/>
          <w:lang w:val="en-US" w:eastAsia="zh-CN"/>
        </w:rPr>
        <w:t>0</w:t>
      </w:r>
      <w:r>
        <w:rPr>
          <w:rFonts w:hint="eastAsia" w:ascii="仿宋" w:hAnsi="仿宋" w:eastAsia="仿宋" w:cs="仿宋"/>
          <w:bCs/>
          <w:color w:val="auto"/>
          <w:sz w:val="31"/>
          <w:szCs w:val="31"/>
        </w:rPr>
        <w:t>个，参加其他单位组织的出国团组</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single"/>
          <w:lang w:val="en-US" w:eastAsia="zh-CN"/>
        </w:rPr>
        <w:t>0</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rPr>
        <w:t>个，全年因公出国（境）团组共计</w:t>
      </w:r>
      <w:r>
        <w:rPr>
          <w:rFonts w:hint="eastAsia" w:ascii="仿宋" w:hAnsi="仿宋" w:eastAsia="仿宋" w:cs="仿宋"/>
          <w:bCs/>
          <w:color w:val="auto"/>
          <w:sz w:val="31"/>
          <w:szCs w:val="31"/>
          <w:u w:val="single"/>
        </w:rPr>
        <w:t>0</w:t>
      </w:r>
      <w:r>
        <w:rPr>
          <w:rFonts w:hint="eastAsia" w:ascii="仿宋" w:hAnsi="仿宋" w:eastAsia="仿宋" w:cs="仿宋"/>
          <w:bCs/>
          <w:color w:val="auto"/>
          <w:sz w:val="31"/>
          <w:szCs w:val="31"/>
        </w:rPr>
        <w:t>个，累计</w:t>
      </w:r>
      <w:r>
        <w:rPr>
          <w:rFonts w:hint="eastAsia" w:ascii="仿宋" w:hAnsi="仿宋" w:eastAsia="仿宋" w:cs="仿宋"/>
          <w:bCs/>
          <w:color w:val="auto"/>
          <w:sz w:val="31"/>
          <w:szCs w:val="31"/>
          <w:u w:val="single"/>
        </w:rPr>
        <w:t>0</w:t>
      </w:r>
      <w:r>
        <w:rPr>
          <w:rFonts w:hint="eastAsia" w:ascii="仿宋" w:hAnsi="仿宋" w:eastAsia="仿宋" w:cs="仿宋"/>
          <w:bCs/>
          <w:color w:val="auto"/>
          <w:sz w:val="31"/>
          <w:szCs w:val="31"/>
        </w:rPr>
        <w:t>人次。</w:t>
      </w:r>
    </w:p>
    <w:p>
      <w:pPr>
        <w:numPr>
          <w:ilvl w:val="0"/>
          <w:numId w:val="3"/>
        </w:numPr>
        <w:autoSpaceDE w:val="0"/>
        <w:autoSpaceDN w:val="0"/>
        <w:adjustRightInd w:val="0"/>
        <w:spacing w:line="560" w:lineRule="exact"/>
        <w:ind w:firstLine="620" w:firstLineChars="200"/>
        <w:jc w:val="left"/>
        <w:rPr>
          <w:rFonts w:hint="eastAsia" w:ascii="仿宋" w:hAnsi="仿宋" w:eastAsia="仿宋" w:cs="仿宋"/>
          <w:color w:val="auto"/>
          <w:sz w:val="31"/>
          <w:szCs w:val="31"/>
        </w:rPr>
      </w:pPr>
      <w:r>
        <w:rPr>
          <w:rFonts w:hint="eastAsia" w:ascii="仿宋" w:hAnsi="仿宋" w:eastAsia="仿宋" w:cs="仿宋"/>
          <w:color w:val="auto"/>
          <w:kern w:val="0"/>
          <w:sz w:val="31"/>
          <w:szCs w:val="31"/>
        </w:rPr>
        <w:t>（二）公务用车购置及运行费支出</w:t>
      </w:r>
      <w:r>
        <w:rPr>
          <w:rFonts w:ascii="仿宋" w:hAnsi="仿宋" w:eastAsia="仿宋" w:cs="仿宋"/>
          <w:color w:val="auto"/>
          <w:sz w:val="31"/>
          <w:u w:color="auto"/>
        </w:rPr>
        <w:t>0.00万元。其中：公务用车购置支出0.00万元，完成年初预算的</w:t>
      </w:r>
      <w:r>
        <w:rPr>
          <w:rFonts w:hint="eastAsia" w:ascii="仿宋" w:hAnsi="仿宋" w:eastAsia="仿宋" w:cs="仿宋"/>
          <w:color w:val="auto"/>
          <w:sz w:val="31"/>
          <w:szCs w:val="31"/>
        </w:rPr>
        <w:t>0%</w:t>
      </w:r>
      <w:r>
        <w:rPr>
          <w:rFonts w:hint="eastAsia" w:ascii="仿宋" w:hAnsi="仿宋" w:eastAsia="仿宋" w:cs="仿宋"/>
          <w:color w:val="auto"/>
          <w:kern w:val="0"/>
          <w:sz w:val="31"/>
          <w:szCs w:val="31"/>
        </w:rPr>
        <w:t>，比上年</w:t>
      </w:r>
      <w:r>
        <w:rPr>
          <w:rFonts w:hint="eastAsia" w:ascii="仿宋" w:hAnsi="仿宋" w:eastAsia="仿宋" w:cs="仿宋"/>
          <w:color w:val="auto"/>
          <w:sz w:val="31"/>
          <w:szCs w:val="31"/>
        </w:rPr>
        <w:t>增加0.00</w:t>
      </w:r>
      <w:r>
        <w:rPr>
          <w:rFonts w:hint="eastAsia" w:ascii="仿宋" w:hAnsi="仿宋" w:eastAsia="仿宋" w:cs="仿宋"/>
          <w:color w:val="auto"/>
          <w:kern w:val="0"/>
          <w:sz w:val="31"/>
          <w:szCs w:val="31"/>
        </w:rPr>
        <w:t>万元，</w:t>
      </w:r>
      <w:r>
        <w:rPr>
          <w:rFonts w:hint="eastAsia" w:ascii="仿宋" w:hAnsi="仿宋" w:eastAsia="仿宋" w:cs="仿宋"/>
          <w:color w:val="auto"/>
          <w:kern w:val="2"/>
          <w:sz w:val="31"/>
          <w:szCs w:val="31"/>
          <w:highlight w:val="none"/>
          <w:lang w:val="en-US" w:eastAsia="zh-CN" w:bidi="ar"/>
        </w:rPr>
        <w:t>原因是：年度无该项支出</w:t>
      </w:r>
      <w:r>
        <w:rPr>
          <w:rFonts w:hint="eastAsia" w:ascii="仿宋" w:hAnsi="仿宋" w:eastAsia="仿宋" w:cs="仿宋"/>
          <w:color w:val="auto"/>
          <w:kern w:val="0"/>
          <w:sz w:val="31"/>
          <w:szCs w:val="31"/>
        </w:rPr>
        <w:t>。购置</w:t>
      </w:r>
      <w:r>
        <w:rPr>
          <w:rFonts w:hint="eastAsia" w:ascii="仿宋" w:hAnsi="仿宋" w:eastAsia="仿宋" w:cs="仿宋"/>
          <w:color w:val="auto"/>
          <w:sz w:val="31"/>
          <w:szCs w:val="31"/>
        </w:rPr>
        <w:t>了</w:t>
      </w:r>
      <w:r>
        <w:rPr>
          <w:rFonts w:ascii="仿宋" w:hAnsi="仿宋" w:eastAsia="仿宋" w:cs="仿宋"/>
          <w:color w:val="auto"/>
          <w:sz w:val="31"/>
          <w:u w:color="auto"/>
        </w:rPr>
        <w:t>0辆公务用车</w:t>
      </w:r>
      <w:r>
        <w:rPr>
          <w:rFonts w:hint="eastAsia" w:ascii="仿宋" w:hAnsi="仿宋" w:eastAsia="仿宋" w:cs="仿宋"/>
          <w:color w:val="auto"/>
          <w:sz w:val="31"/>
          <w:u w:color="auto"/>
          <w:lang w:eastAsia="zh-CN"/>
        </w:rPr>
        <w:t>。</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lang w:eastAsia="zh-CN"/>
        </w:rPr>
      </w:pPr>
      <w:r>
        <w:rPr>
          <w:rFonts w:hint="eastAsia" w:ascii="仿宋" w:hAnsi="仿宋" w:eastAsia="仿宋" w:cs="仿宋"/>
          <w:color w:val="auto"/>
          <w:kern w:val="0"/>
          <w:sz w:val="31"/>
          <w:szCs w:val="31"/>
        </w:rPr>
        <w:t>公务用车运行支出</w:t>
      </w:r>
      <w:r>
        <w:rPr>
          <w:rFonts w:ascii="仿宋" w:hAnsi="仿宋" w:eastAsia="仿宋" w:cs="仿宋"/>
          <w:color w:val="auto"/>
          <w:sz w:val="31"/>
          <w:u w:color="auto"/>
        </w:rPr>
        <w:t>0.00万元，完成年初预算的0%</w:t>
      </w:r>
      <w:r>
        <w:rPr>
          <w:rFonts w:hint="eastAsia" w:ascii="仿宋" w:hAnsi="仿宋" w:eastAsia="仿宋" w:cs="仿宋"/>
          <w:color w:val="auto"/>
          <w:kern w:val="0"/>
          <w:sz w:val="31"/>
          <w:szCs w:val="31"/>
        </w:rPr>
        <w:t>，比上年</w:t>
      </w:r>
      <w:r>
        <w:rPr>
          <w:rFonts w:ascii="仿宋" w:hAnsi="仿宋" w:eastAsia="仿宋" w:cs="仿宋"/>
          <w:color w:val="auto"/>
          <w:sz w:val="31"/>
          <w:u w:color="auto"/>
        </w:rPr>
        <w:t>增加0.00万元，</w:t>
      </w:r>
      <w:r>
        <w:rPr>
          <w:rFonts w:hint="eastAsia" w:ascii="仿宋" w:hAnsi="仿宋" w:eastAsia="仿宋" w:cs="仿宋"/>
          <w:color w:val="auto"/>
          <w:kern w:val="2"/>
          <w:sz w:val="31"/>
          <w:szCs w:val="31"/>
          <w:highlight w:val="none"/>
          <w:lang w:val="en-US" w:eastAsia="zh-CN" w:bidi="ar"/>
        </w:rPr>
        <w:t>原因是：年度无该项支出。</w:t>
      </w:r>
      <w:r>
        <w:rPr>
          <w:rFonts w:hint="eastAsia" w:ascii="仿宋" w:hAnsi="仿宋" w:eastAsia="仿宋" w:cs="仿宋"/>
          <w:color w:val="auto"/>
          <w:kern w:val="0"/>
          <w:sz w:val="31"/>
          <w:szCs w:val="31"/>
        </w:rPr>
        <w:t>主要用于机要文件交换、市内因公出行以及开</w:t>
      </w:r>
      <w:r>
        <w:rPr>
          <w:rFonts w:hint="eastAsia" w:ascii="仿宋" w:hAnsi="仿宋" w:eastAsia="仿宋" w:cs="仿宋"/>
          <w:color w:val="auto"/>
          <w:kern w:val="0"/>
          <w:sz w:val="31"/>
          <w:szCs w:val="31"/>
          <w:u w:val="single"/>
        </w:rPr>
        <w:t xml:space="preserve">展 </w:t>
      </w:r>
      <w:r>
        <w:rPr>
          <w:rFonts w:hint="eastAsia" w:ascii="仿宋" w:hAnsi="仿宋" w:eastAsia="仿宋" w:cs="仿宋"/>
          <w:color w:val="auto"/>
          <w:kern w:val="0"/>
          <w:sz w:val="31"/>
          <w:szCs w:val="31"/>
          <w:u w:val="single"/>
          <w:lang w:val="en-US" w:eastAsia="zh-CN"/>
        </w:rPr>
        <w:t xml:space="preserve"> 0 </w:t>
      </w:r>
      <w:r>
        <w:rPr>
          <w:rFonts w:hint="eastAsia" w:ascii="仿宋" w:hAnsi="仿宋" w:eastAsia="仿宋" w:cs="仿宋"/>
          <w:color w:val="auto"/>
          <w:kern w:val="0"/>
          <w:sz w:val="31"/>
          <w:szCs w:val="31"/>
          <w:u w:val="single"/>
        </w:rPr>
        <w:t xml:space="preserve"> 业务</w:t>
      </w:r>
      <w:r>
        <w:rPr>
          <w:rFonts w:hint="eastAsia" w:ascii="仿宋" w:hAnsi="仿宋" w:eastAsia="仿宋" w:cs="仿宋"/>
          <w:color w:val="auto"/>
          <w:kern w:val="0"/>
          <w:sz w:val="31"/>
          <w:szCs w:val="31"/>
        </w:rPr>
        <w:t>所需车辆燃料费、维修费、过路过桥费、保险费等。2022年，</w:t>
      </w:r>
      <w:r>
        <w:rPr>
          <w:rFonts w:hint="eastAsia" w:ascii="仿宋" w:hAnsi="仿宋" w:eastAsia="仿宋" w:cs="仿宋"/>
          <w:color w:val="auto"/>
          <w:sz w:val="31"/>
          <w:szCs w:val="31"/>
          <w:u w:val="single"/>
          <w:shd w:val="clear" w:color="auto" w:fill="FFFFFF"/>
        </w:rPr>
        <w:t>中共百色市委员会百色市人民政府信访局（汇总）</w:t>
      </w:r>
      <w:r>
        <w:rPr>
          <w:rFonts w:hint="eastAsia" w:ascii="仿宋" w:hAnsi="仿宋" w:eastAsia="仿宋" w:cs="仿宋"/>
          <w:bCs/>
          <w:color w:val="auto"/>
          <w:sz w:val="31"/>
          <w:szCs w:val="31"/>
        </w:rPr>
        <w:t>、</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single"/>
          <w:lang w:val="en-US" w:eastAsia="zh-CN"/>
        </w:rPr>
        <w:t xml:space="preserve"> 0 </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none"/>
        </w:rPr>
        <w:t>个所</w:t>
      </w:r>
      <w:r>
        <w:rPr>
          <w:rFonts w:hint="eastAsia" w:ascii="仿宋" w:hAnsi="仿宋" w:eastAsia="仿宋" w:cs="仿宋"/>
          <w:bCs/>
          <w:color w:val="auto"/>
          <w:sz w:val="31"/>
          <w:szCs w:val="31"/>
        </w:rPr>
        <w:t>属单位开支财政拨款的公务用车保有量为</w:t>
      </w:r>
      <w:r>
        <w:rPr>
          <w:rFonts w:hint="eastAsia" w:ascii="仿宋" w:hAnsi="仿宋" w:eastAsia="仿宋" w:cs="仿宋"/>
          <w:bCs/>
          <w:color w:val="auto"/>
          <w:sz w:val="31"/>
          <w:szCs w:val="31"/>
          <w:u w:val="single"/>
        </w:rPr>
        <w:t>0</w:t>
      </w:r>
      <w:r>
        <w:rPr>
          <w:rFonts w:hint="eastAsia" w:ascii="仿宋" w:hAnsi="仿宋" w:eastAsia="仿宋" w:cs="仿宋"/>
          <w:bCs/>
          <w:color w:val="auto"/>
          <w:sz w:val="31"/>
          <w:szCs w:val="31"/>
        </w:rPr>
        <w:t>辆，全年运行费支出</w:t>
      </w:r>
      <w:r>
        <w:rPr>
          <w:rFonts w:hint="eastAsia" w:ascii="仿宋" w:hAnsi="仿宋" w:eastAsia="仿宋" w:cs="仿宋"/>
          <w:color w:val="auto"/>
          <w:sz w:val="31"/>
          <w:szCs w:val="31"/>
        </w:rPr>
        <w:t>0.00</w:t>
      </w:r>
      <w:r>
        <w:rPr>
          <w:rFonts w:hint="eastAsia" w:ascii="仿宋" w:hAnsi="仿宋" w:eastAsia="仿宋" w:cs="仿宋"/>
          <w:bCs/>
          <w:color w:val="auto"/>
          <w:sz w:val="31"/>
          <w:szCs w:val="31"/>
        </w:rPr>
        <w:t>万元，</w:t>
      </w:r>
      <w:r>
        <w:rPr>
          <w:rFonts w:hint="eastAsia" w:ascii="仿宋" w:hAnsi="仿宋" w:eastAsia="仿宋" w:cs="仿宋"/>
          <w:bCs/>
          <w:color w:val="auto"/>
          <w:sz w:val="31"/>
          <w:szCs w:val="31"/>
          <w:u w:val="none"/>
        </w:rPr>
        <w:t>平均每辆</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single"/>
          <w:lang w:val="en-US" w:eastAsia="zh-CN"/>
        </w:rPr>
        <w:t xml:space="preserve">0  </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none"/>
        </w:rPr>
        <w:t>万元</w:t>
      </w:r>
      <w:r>
        <w:rPr>
          <w:rFonts w:hint="eastAsia" w:ascii="仿宋" w:hAnsi="仿宋" w:eastAsia="仿宋" w:cs="仿宋"/>
          <w:bCs/>
          <w:color w:val="auto"/>
          <w:sz w:val="31"/>
          <w:szCs w:val="31"/>
          <w:u w:val="none"/>
          <w:lang w:eastAsia="zh-CN"/>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kern w:val="0"/>
          <w:sz w:val="31"/>
          <w:szCs w:val="31"/>
        </w:rPr>
        <w:t>（三）公务接待费支出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万元，完成年初预算的</w:t>
      </w:r>
      <w:r>
        <w:rPr>
          <w:rFonts w:hint="eastAsia" w:ascii="仿宋" w:hAnsi="仿宋" w:eastAsia="仿宋" w:cs="仿宋"/>
          <w:color w:val="auto"/>
          <w:sz w:val="31"/>
          <w:szCs w:val="31"/>
        </w:rPr>
        <w:t>0%</w:t>
      </w:r>
      <w:r>
        <w:rPr>
          <w:rFonts w:hint="eastAsia" w:ascii="仿宋" w:hAnsi="仿宋" w:eastAsia="仿宋" w:cs="仿宋"/>
          <w:color w:val="auto"/>
          <w:kern w:val="0"/>
          <w:sz w:val="31"/>
          <w:szCs w:val="31"/>
        </w:rPr>
        <w:t>， 比上年</w:t>
      </w:r>
      <w:r>
        <w:rPr>
          <w:rFonts w:hint="eastAsia" w:ascii="仿宋" w:hAnsi="仿宋" w:eastAsia="仿宋" w:cs="仿宋"/>
          <w:color w:val="auto"/>
          <w:sz w:val="31"/>
          <w:szCs w:val="31"/>
        </w:rPr>
        <w:t>增加0.00</w:t>
      </w:r>
      <w:r>
        <w:rPr>
          <w:rFonts w:hint="eastAsia" w:ascii="仿宋" w:hAnsi="仿宋" w:eastAsia="仿宋" w:cs="仿宋"/>
          <w:color w:val="auto"/>
          <w:kern w:val="0"/>
          <w:sz w:val="31"/>
          <w:szCs w:val="31"/>
        </w:rPr>
        <w:t>万元，</w:t>
      </w:r>
      <w:r>
        <w:rPr>
          <w:rFonts w:hint="eastAsia" w:ascii="仿宋" w:hAnsi="仿宋" w:eastAsia="仿宋" w:cs="仿宋"/>
          <w:color w:val="auto"/>
          <w:kern w:val="2"/>
          <w:sz w:val="31"/>
          <w:szCs w:val="31"/>
          <w:highlight w:val="none"/>
          <w:lang w:val="en-US" w:eastAsia="zh-CN" w:bidi="ar"/>
        </w:rPr>
        <w:t>原因是：年度无该项支出。</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国内公务接待批次</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次，人次</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次，国（境）外公务接待批次</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次，人次</w:t>
      </w:r>
      <w:r>
        <w:rPr>
          <w:rFonts w:hint="eastAsia" w:ascii="仿宋" w:hAnsi="仿宋" w:eastAsia="仿宋" w:cs="仿宋"/>
          <w:color w:val="auto"/>
          <w:kern w:val="0"/>
          <w:sz w:val="31"/>
          <w:szCs w:val="31"/>
          <w:u w:val="single"/>
        </w:rPr>
        <w:t xml:space="preserve"> </w:t>
      </w:r>
      <w:bookmarkStart w:id="2" w:name="_Hlk145513101"/>
      <w:r>
        <w:rPr>
          <w:rFonts w:hint="eastAsia" w:ascii="仿宋" w:hAnsi="仿宋" w:eastAsia="仿宋" w:cs="仿宋"/>
          <w:color w:val="auto"/>
          <w:kern w:val="0"/>
          <w:sz w:val="31"/>
          <w:szCs w:val="31"/>
          <w:u w:val="single"/>
        </w:rPr>
        <w:t>0</w:t>
      </w:r>
      <w:bookmarkEnd w:id="2"/>
      <w:r>
        <w:rPr>
          <w:rFonts w:hint="eastAsia" w:ascii="仿宋" w:hAnsi="仿宋" w:eastAsia="仿宋" w:cs="仿宋"/>
          <w:color w:val="auto"/>
          <w:kern w:val="0"/>
          <w:sz w:val="31"/>
          <w:szCs w:val="31"/>
        </w:rPr>
        <w:t>次。其中：</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w:t>
      </w:r>
    </w:p>
    <w:p>
      <w:pPr>
        <w:autoSpaceDE w:val="0"/>
        <w:autoSpaceDN w:val="0"/>
        <w:adjustRightInd w:val="0"/>
        <w:spacing w:line="560" w:lineRule="exact"/>
        <w:ind w:firstLine="627" w:firstLineChars="196"/>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（一）</w:t>
      </w:r>
      <w:r>
        <w:rPr>
          <w:rFonts w:hint="eastAsia" w:ascii="仿宋" w:hAnsi="仿宋" w:eastAsia="仿宋" w:cs="仿宋"/>
          <w:color w:val="auto"/>
          <w:sz w:val="31"/>
          <w:szCs w:val="31"/>
        </w:rPr>
        <w:t xml:space="preserve"> </w:t>
      </w:r>
      <w:r>
        <w:rPr>
          <w:rFonts w:hint="eastAsia" w:ascii="仿宋" w:hAnsi="仿宋" w:eastAsia="仿宋" w:cs="仿宋"/>
          <w:color w:val="auto"/>
          <w:kern w:val="0"/>
          <w:sz w:val="31"/>
          <w:szCs w:val="31"/>
        </w:rPr>
        <w:t>机关运行经费支出情况说明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lang w:eastAsia="zh-CN"/>
        </w:rPr>
      </w:pPr>
      <w:r>
        <w:rPr>
          <w:rFonts w:hint="eastAsia" w:ascii="仿宋" w:hAnsi="仿宋" w:eastAsia="仿宋" w:cs="仿宋"/>
          <w:color w:val="auto"/>
          <w:kern w:val="0"/>
          <w:sz w:val="31"/>
          <w:szCs w:val="31"/>
        </w:rPr>
        <w:t>本部门2022年度机关运行经费支出</w:t>
      </w:r>
      <w:r>
        <w:rPr>
          <w:rFonts w:ascii="仿宋" w:hAnsi="仿宋" w:eastAsia="仿宋" w:cs="仿宋"/>
          <w:color w:val="auto"/>
          <w:sz w:val="31"/>
          <w:u w:color="auto"/>
        </w:rPr>
        <w:t>35.70万元（与部门决算中行政单位和参照公务员法管理事业单位一般公共预算财政拨款基本支出中公用经费之和一致），比年初预算数减少7.36</w:t>
      </w:r>
      <w:r>
        <w:rPr>
          <w:rFonts w:hint="eastAsia" w:ascii="仿宋" w:hAnsi="仿宋" w:eastAsia="仿宋" w:cs="仿宋"/>
          <w:color w:val="auto"/>
          <w:kern w:val="0"/>
          <w:sz w:val="31"/>
          <w:szCs w:val="31"/>
        </w:rPr>
        <w:t>万元，</w:t>
      </w:r>
      <w:r>
        <w:rPr>
          <w:rFonts w:ascii="仿宋" w:hAnsi="仿宋" w:eastAsia="仿宋" w:cs="仿宋"/>
          <w:color w:val="auto"/>
          <w:sz w:val="31"/>
          <w:u w:color="auto"/>
        </w:rPr>
        <w:t>下降17.09%，比</w:t>
      </w:r>
      <w:r>
        <w:rPr>
          <w:rFonts w:hint="eastAsia" w:ascii="仿宋" w:hAnsi="仿宋" w:eastAsia="仿宋" w:cs="仿宋"/>
          <w:color w:val="auto"/>
          <w:kern w:val="0"/>
          <w:sz w:val="31"/>
          <w:szCs w:val="31"/>
          <w:lang w:val="en-US" w:eastAsia="zh-CN"/>
        </w:rPr>
        <w:t>2021</w:t>
      </w:r>
      <w:r>
        <w:rPr>
          <w:rFonts w:hint="eastAsia" w:ascii="仿宋" w:hAnsi="仿宋" w:eastAsia="仿宋" w:cs="仿宋"/>
          <w:color w:val="auto"/>
          <w:kern w:val="0"/>
          <w:sz w:val="31"/>
          <w:szCs w:val="31"/>
        </w:rPr>
        <w:t>年决算数</w:t>
      </w:r>
      <w:r>
        <w:rPr>
          <w:rFonts w:ascii="仿宋" w:hAnsi="仿宋" w:eastAsia="仿宋" w:cs="仿宋"/>
          <w:color w:val="auto"/>
          <w:sz w:val="31"/>
          <w:u w:color="auto"/>
        </w:rPr>
        <w:t>增加15.55</w:t>
      </w:r>
      <w:r>
        <w:rPr>
          <w:rFonts w:hint="eastAsia" w:ascii="仿宋" w:hAnsi="仿宋" w:eastAsia="仿宋" w:cs="仿宋"/>
          <w:color w:val="auto"/>
          <w:kern w:val="0"/>
          <w:sz w:val="31"/>
          <w:szCs w:val="31"/>
        </w:rPr>
        <w:t>万元，</w:t>
      </w:r>
      <w:r>
        <w:rPr>
          <w:rFonts w:ascii="仿宋" w:hAnsi="仿宋" w:eastAsia="仿宋" w:cs="仿宋"/>
          <w:color w:val="auto"/>
          <w:sz w:val="31"/>
          <w:u w:color="auto"/>
        </w:rPr>
        <w:t>增长77.17%</w:t>
      </w:r>
      <w:r>
        <w:rPr>
          <w:rFonts w:hint="eastAsia" w:ascii="仿宋" w:hAnsi="仿宋" w:eastAsia="仿宋" w:cs="仿宋"/>
          <w:color w:val="auto"/>
          <w:kern w:val="0"/>
          <w:sz w:val="31"/>
          <w:szCs w:val="31"/>
        </w:rPr>
        <w:t>。</w:t>
      </w:r>
      <w:r>
        <w:rPr>
          <w:rFonts w:hint="eastAsia" w:ascii="仿宋" w:hAnsi="仿宋" w:eastAsia="仿宋" w:cs="仿宋"/>
          <w:color w:val="auto"/>
          <w:kern w:val="2"/>
          <w:sz w:val="31"/>
          <w:szCs w:val="31"/>
          <w:highlight w:val="none"/>
          <w:lang w:val="en-US" w:eastAsia="zh-CN" w:bidi="ar"/>
        </w:rPr>
        <w:t>原因是：</w:t>
      </w:r>
      <w:r>
        <w:rPr>
          <w:rFonts w:hint="eastAsia" w:ascii="仿宋" w:hAnsi="仿宋" w:eastAsia="仿宋" w:cs="仿宋"/>
          <w:color w:val="auto"/>
          <w:kern w:val="0"/>
          <w:sz w:val="31"/>
          <w:szCs w:val="31"/>
        </w:rPr>
        <w:t>办公设施设备购置经费增加、资产运行维护支出增加、信息系统运行维护支出增加等</w:t>
      </w:r>
      <w:r>
        <w:rPr>
          <w:rFonts w:hint="eastAsia" w:ascii="仿宋" w:hAnsi="仿宋" w:eastAsia="仿宋" w:cs="仿宋"/>
          <w:color w:val="auto"/>
          <w:kern w:val="0"/>
          <w:sz w:val="31"/>
          <w:szCs w:val="31"/>
          <w:lang w:eastAsia="zh-CN"/>
        </w:rPr>
        <w:t>。</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（二）政府采购支出情况说明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本部门2022年度政府采购支出总额</w:t>
      </w:r>
      <w:r>
        <w:rPr>
          <w:rFonts w:ascii="仿宋" w:hAnsi="仿宋" w:eastAsia="仿宋" w:cs="仿宋"/>
          <w:color w:val="auto"/>
          <w:sz w:val="31"/>
          <w:u w:color="auto"/>
        </w:rPr>
        <w:t>0.00万元，其中：政府采购货物支出0.00万元、政府采购工程支出0.00万元、政府采购服务支出0.00万元，（口径参见部门决算F03表《机构运行信息表》中政府采购相关数据）。授予中小企业合同金额0.00万元，占政府采购支出总额的0%，其中：授予小微企业合同金额0.00万元，占授予中小企业合同金额的0%。</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（三）国有资产占用情况说明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截至2022年12月31日，本部门共有车辆</w:t>
      </w:r>
      <w:r>
        <w:rPr>
          <w:rFonts w:ascii="仿宋" w:hAnsi="仿宋" w:eastAsia="仿宋" w:cs="仿宋"/>
          <w:color w:val="auto"/>
          <w:sz w:val="31"/>
          <w:u w:color="auto"/>
        </w:rPr>
        <w:t>0辆，其中：副部（省）级领导干部用车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辆、机要通信用车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辆、应急保障用车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辆、执法执勤用车</w:t>
      </w:r>
      <w:bookmarkStart w:id="3" w:name="_Hlk145513911"/>
      <w:r>
        <w:rPr>
          <w:rFonts w:hint="eastAsia" w:ascii="仿宋" w:hAnsi="仿宋" w:eastAsia="仿宋" w:cs="仿宋"/>
          <w:color w:val="auto"/>
          <w:kern w:val="0"/>
          <w:sz w:val="31"/>
          <w:szCs w:val="31"/>
          <w:u w:val="single"/>
        </w:rPr>
        <w:t>0</w:t>
      </w:r>
      <w:bookmarkEnd w:id="3"/>
      <w:r>
        <w:rPr>
          <w:rFonts w:hint="eastAsia" w:ascii="仿宋" w:hAnsi="仿宋" w:eastAsia="仿宋" w:cs="仿宋"/>
          <w:color w:val="auto"/>
          <w:kern w:val="0"/>
          <w:sz w:val="31"/>
          <w:szCs w:val="31"/>
        </w:rPr>
        <w:t>辆、特种专业技术用车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辆、其他用车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辆，其他用车</w:t>
      </w:r>
      <w:r>
        <w:rPr>
          <w:rFonts w:hint="eastAsia" w:ascii="仿宋" w:hAnsi="仿宋" w:eastAsia="仿宋" w:cs="仿宋"/>
          <w:color w:val="auto"/>
          <w:kern w:val="0"/>
          <w:sz w:val="31"/>
          <w:szCs w:val="31"/>
          <w:lang w:eastAsia="zh-CN"/>
        </w:rPr>
        <w:t>暂无</w:t>
      </w:r>
      <w:r>
        <w:rPr>
          <w:rFonts w:hint="eastAsia" w:ascii="仿宋" w:hAnsi="仿宋" w:eastAsia="仿宋" w:cs="仿宋"/>
          <w:color w:val="auto"/>
          <w:kern w:val="0"/>
          <w:sz w:val="31"/>
          <w:szCs w:val="31"/>
        </w:rPr>
        <w:t>；单位价值50万元以上通用设备</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台（套）；单位价值100万元以上专用设备</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台（套）。</w:t>
      </w:r>
    </w:p>
    <w:p>
      <w:pPr>
        <w:pStyle w:val="6"/>
        <w:widowControl/>
        <w:spacing w:before="196" w:beforeAutospacing="0" w:after="196" w:afterAutospacing="0" w:line="540" w:lineRule="atLeast"/>
        <w:ind w:firstLine="420"/>
        <w:jc w:val="both"/>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八、预算绩效管理工作开展情况。</w:t>
      </w:r>
    </w:p>
    <w:p>
      <w:pPr>
        <w:spacing w:line="360" w:lineRule="auto"/>
        <w:ind w:firstLine="56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（一）绩效管理工作开展情况。</w:t>
      </w:r>
    </w:p>
    <w:p>
      <w:pPr>
        <w:keepNext w:val="0"/>
        <w:keepLines w:val="0"/>
        <w:widowControl w:val="0"/>
        <w:suppressLineNumbers w:val="0"/>
        <w:autoSpaceDE w:val="0"/>
        <w:autoSpaceDN w:val="0"/>
        <w:adjustRightInd w:val="0"/>
        <w:spacing w:before="0" w:beforeAutospacing="0" w:after="0" w:afterAutospacing="0" w:line="560" w:lineRule="exact"/>
        <w:ind w:left="0" w:right="0"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根据财政预算管理要求，本部门组织对2022年度预算项目支出全面开展绩效自评。2022年共开展预算项目自评0个,共涉及资金0万元,自评覆盖率达到0%。</w:t>
      </w:r>
    </w:p>
    <w:p>
      <w:pPr>
        <w:keepNext w:val="0"/>
        <w:keepLines w:val="0"/>
        <w:widowControl w:val="0"/>
        <w:suppressLineNumbers w:val="0"/>
        <w:autoSpaceDE w:val="0"/>
        <w:autoSpaceDN w:val="0"/>
        <w:adjustRightInd w:val="0"/>
        <w:spacing w:before="0" w:beforeAutospacing="0" w:after="0" w:afterAutospacing="0" w:line="560" w:lineRule="exact"/>
        <w:ind w:left="0" w:right="0"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未共组织对项目进行了绩效评价，涉及预算支出0万元。</w:t>
      </w:r>
    </w:p>
    <w:p>
      <w:pPr>
        <w:keepNext w:val="0"/>
        <w:keepLines w:val="0"/>
        <w:widowControl w:val="0"/>
        <w:suppressLineNumbers w:val="0"/>
        <w:autoSpaceDE w:val="0"/>
        <w:autoSpaceDN w:val="0"/>
        <w:adjustRightInd w:val="0"/>
        <w:spacing w:before="0" w:beforeAutospacing="0" w:after="0" w:afterAutospacing="0" w:line="560" w:lineRule="exact"/>
        <w:ind w:left="0" w:right="0"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组织对本部门及0个（单位）开展整体支出绩效自评，涉及一般公共预算支出0万元。</w:t>
      </w:r>
    </w:p>
    <w:p>
      <w:pPr>
        <w:keepNext w:val="0"/>
        <w:keepLines w:val="0"/>
        <w:widowControl w:val="0"/>
        <w:suppressLineNumbers w:val="0"/>
        <w:autoSpaceDE w:val="0"/>
        <w:autoSpaceDN w:val="0"/>
        <w:adjustRightInd w:val="0"/>
        <w:spacing w:before="0" w:beforeAutospacing="0" w:after="0" w:afterAutospacing="0" w:line="560" w:lineRule="exact"/>
        <w:ind w:left="0" w:right="0" w:firstLine="622" w:firstLineChars="200"/>
        <w:jc w:val="left"/>
        <w:rPr>
          <w:rFonts w:hint="default" w:ascii="仿宋_GB2312" w:hAnsi="Times New Roman" w:eastAsia="仿宋_GB2312" w:cs="仿宋_GB2312"/>
          <w:b/>
          <w:bCs/>
          <w:color w:val="auto"/>
          <w:kern w:val="0"/>
          <w:sz w:val="32"/>
          <w:szCs w:val="32"/>
        </w:rPr>
      </w:pPr>
      <w:r>
        <w:rPr>
          <w:rFonts w:hint="eastAsia" w:ascii="仿宋" w:hAnsi="仿宋" w:eastAsia="仿宋" w:cs="仿宋"/>
          <w:b/>
          <w:bCs/>
          <w:color w:val="auto"/>
          <w:kern w:val="0"/>
          <w:sz w:val="31"/>
          <w:szCs w:val="31"/>
          <w:lang w:val="en-US" w:eastAsia="zh-CN" w:bidi="ar"/>
        </w:rPr>
        <w:t>（本年度内未开展自评）</w:t>
      </w:r>
    </w:p>
    <w:p>
      <w:pPr>
        <w:spacing w:line="360" w:lineRule="auto"/>
        <w:ind w:firstLine="56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（二）部门决算中项目绩效自评结果。</w:t>
      </w:r>
    </w:p>
    <w:p>
      <w:pPr>
        <w:ind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highlight w:val="none"/>
        </w:rPr>
        <w:t>我部门根据年初设定的绩效目标，</w:t>
      </w:r>
      <w:r>
        <w:rPr>
          <w:rFonts w:hint="eastAsia" w:ascii="仿宋" w:hAnsi="仿宋" w:eastAsia="仿宋" w:cs="仿宋"/>
          <w:color w:val="auto"/>
          <w:kern w:val="0"/>
          <w:sz w:val="31"/>
          <w:szCs w:val="31"/>
          <w:lang w:eastAsia="zh-CN"/>
        </w:rPr>
        <w:t>百色市群众信访服务中心试点项目工程建设资金</w:t>
      </w:r>
      <w:r>
        <w:rPr>
          <w:rFonts w:hint="eastAsia" w:ascii="仿宋" w:hAnsi="仿宋" w:eastAsia="仿宋" w:cs="仿宋"/>
          <w:color w:val="auto"/>
          <w:sz w:val="31"/>
          <w:szCs w:val="31"/>
          <w:highlight w:val="none"/>
        </w:rPr>
        <w:t>项目自评得分为</w:t>
      </w:r>
      <w:r>
        <w:rPr>
          <w:rFonts w:hint="eastAsia" w:ascii="仿宋" w:hAnsi="仿宋" w:eastAsia="仿宋" w:cs="仿宋"/>
          <w:color w:val="auto"/>
          <w:sz w:val="31"/>
          <w:szCs w:val="31"/>
          <w:highlight w:val="none"/>
          <w:lang w:val="en-US" w:eastAsia="zh-CN"/>
        </w:rPr>
        <w:t>80.7</w:t>
      </w:r>
      <w:r>
        <w:rPr>
          <w:rFonts w:hint="eastAsia" w:ascii="仿宋" w:hAnsi="仿宋" w:eastAsia="仿宋" w:cs="仿宋"/>
          <w:color w:val="auto"/>
          <w:sz w:val="31"/>
          <w:szCs w:val="31"/>
          <w:highlight w:val="none"/>
        </w:rPr>
        <w:t xml:space="preserve"> 分，项目全年预算数为</w:t>
      </w:r>
      <w:r>
        <w:rPr>
          <w:rFonts w:hint="eastAsia" w:ascii="仿宋" w:hAnsi="仿宋" w:eastAsia="仿宋" w:cs="仿宋"/>
          <w:color w:val="auto"/>
          <w:sz w:val="31"/>
          <w:szCs w:val="31"/>
          <w:highlight w:val="none"/>
          <w:lang w:val="en-US" w:eastAsia="zh-CN"/>
        </w:rPr>
        <w:t>500</w:t>
      </w:r>
      <w:r>
        <w:rPr>
          <w:rFonts w:hint="eastAsia" w:ascii="仿宋" w:hAnsi="仿宋" w:eastAsia="仿宋" w:cs="仿宋"/>
          <w:color w:val="auto"/>
          <w:sz w:val="31"/>
          <w:szCs w:val="31"/>
          <w:highlight w:val="none"/>
        </w:rPr>
        <w:t>万元，执行数为</w:t>
      </w:r>
      <w:r>
        <w:rPr>
          <w:rFonts w:hint="eastAsia" w:ascii="仿宋" w:hAnsi="仿宋" w:eastAsia="仿宋" w:cs="仿宋"/>
          <w:color w:val="auto"/>
          <w:sz w:val="31"/>
          <w:szCs w:val="31"/>
          <w:highlight w:val="none"/>
          <w:lang w:val="en-US" w:eastAsia="zh-CN"/>
        </w:rPr>
        <w:t>414</w:t>
      </w:r>
      <w:r>
        <w:rPr>
          <w:rFonts w:hint="eastAsia" w:ascii="仿宋" w:hAnsi="仿宋" w:eastAsia="仿宋" w:cs="仿宋"/>
          <w:color w:val="auto"/>
          <w:sz w:val="31"/>
          <w:szCs w:val="31"/>
          <w:highlight w:val="none"/>
        </w:rPr>
        <w:t>万元，完成预算的</w:t>
      </w:r>
      <w:r>
        <w:rPr>
          <w:rFonts w:hint="eastAsia" w:ascii="仿宋" w:hAnsi="仿宋" w:eastAsia="仿宋" w:cs="仿宋"/>
          <w:color w:val="auto"/>
          <w:sz w:val="31"/>
          <w:szCs w:val="31"/>
          <w:highlight w:val="none"/>
          <w:lang w:val="en-US" w:eastAsia="zh-CN"/>
        </w:rPr>
        <w:t>82.8</w:t>
      </w:r>
      <w:r>
        <w:rPr>
          <w:rFonts w:hint="eastAsia" w:ascii="仿宋" w:hAnsi="仿宋" w:eastAsia="仿宋" w:cs="仿宋"/>
          <w:color w:val="auto"/>
          <w:sz w:val="31"/>
          <w:szCs w:val="31"/>
          <w:highlight w:val="none"/>
        </w:rPr>
        <w:t>%。发现的主要问题及原因：</w:t>
      </w:r>
      <w:r>
        <w:rPr>
          <w:rFonts w:hint="eastAsia" w:ascii="仿宋" w:hAnsi="仿宋" w:eastAsia="仿宋" w:cs="仿宋"/>
          <w:color w:val="auto"/>
          <w:sz w:val="31"/>
          <w:szCs w:val="31"/>
          <w:highlight w:val="none"/>
          <w:lang w:val="en-US" w:eastAsia="zh-CN"/>
        </w:rPr>
        <w:t>工程建设未达到付款条件</w:t>
      </w:r>
      <w:r>
        <w:rPr>
          <w:rFonts w:hint="eastAsia" w:ascii="仿宋" w:hAnsi="仿宋" w:eastAsia="仿宋" w:cs="仿宋"/>
          <w:color w:val="auto"/>
          <w:kern w:val="2"/>
          <w:sz w:val="31"/>
          <w:szCs w:val="31"/>
          <w:highlight w:val="none"/>
          <w:lang w:val="en-US" w:eastAsia="zh-CN" w:bidi="ar"/>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5"/>
        <w:gridCol w:w="1795"/>
        <w:gridCol w:w="1560"/>
        <w:gridCol w:w="1574"/>
        <w:gridCol w:w="178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序号</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项目名称</w:t>
            </w: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自评得分</w:t>
            </w: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自评结论（等级）</w:t>
            </w: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主要原因分析</w:t>
            </w:r>
          </w:p>
        </w:tc>
        <w:tc>
          <w:tcPr>
            <w:tcW w:w="105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1</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lang w:eastAsia="zh-CN"/>
              </w:rPr>
            </w:pPr>
            <w:r>
              <w:rPr>
                <w:rFonts w:hint="eastAsia" w:ascii="仿宋" w:hAnsi="仿宋" w:eastAsia="仿宋" w:cs="仿宋"/>
                <w:color w:val="auto"/>
                <w:kern w:val="0"/>
                <w:sz w:val="31"/>
                <w:szCs w:val="31"/>
                <w:lang w:eastAsia="zh-CN"/>
              </w:rPr>
              <w:t>百色市群众信访服务中心试点项目工程建设资金</w:t>
            </w: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default" w:ascii="仿宋" w:hAnsi="仿宋" w:eastAsia="仿宋" w:cs="仿宋"/>
                <w:color w:val="auto"/>
                <w:kern w:val="0"/>
                <w:sz w:val="31"/>
                <w:szCs w:val="31"/>
                <w:lang w:val="en-US" w:eastAsia="zh-CN"/>
              </w:rPr>
            </w:pPr>
            <w:r>
              <w:rPr>
                <w:rFonts w:hint="eastAsia" w:ascii="仿宋" w:hAnsi="仿宋" w:eastAsia="仿宋" w:cs="仿宋"/>
                <w:color w:val="auto"/>
                <w:kern w:val="0"/>
                <w:sz w:val="31"/>
                <w:szCs w:val="31"/>
                <w:lang w:val="en-US" w:eastAsia="zh-CN"/>
              </w:rPr>
              <w:t>80.7</w:t>
            </w: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lang w:val="en-US" w:eastAsia="zh-CN"/>
              </w:rPr>
            </w:pPr>
            <w:r>
              <w:rPr>
                <w:rFonts w:hint="eastAsia" w:ascii="仿宋" w:hAnsi="仿宋" w:eastAsia="仿宋" w:cs="仿宋"/>
                <w:color w:val="auto"/>
                <w:kern w:val="0"/>
                <w:sz w:val="31"/>
                <w:szCs w:val="31"/>
                <w:lang w:val="en-US" w:eastAsia="zh-CN"/>
              </w:rPr>
              <w:t>A</w:t>
            </w:r>
          </w:p>
        </w:tc>
        <w:tc>
          <w:tcPr>
            <w:tcW w:w="1786" w:type="dxa"/>
            <w:tcBorders>
              <w:top w:val="single" w:color="auto" w:sz="4" w:space="0"/>
              <w:left w:val="nil"/>
              <w:bottom w:val="single" w:color="auto" w:sz="4" w:space="0"/>
              <w:right w:val="single" w:color="auto" w:sz="4" w:space="0"/>
            </w:tcBorders>
            <w:shd w:val="clear" w:color="auto" w:fill="auto"/>
            <w:vAlign w:val="top"/>
          </w:tcPr>
          <w:p>
            <w:pPr>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kern w:val="2"/>
                <w:sz w:val="31"/>
                <w:szCs w:val="31"/>
                <w:highlight w:val="none"/>
                <w:lang w:val="en-US" w:eastAsia="zh-CN" w:bidi="ar"/>
              </w:rPr>
              <w:t>资金均已经按时支付</w:t>
            </w:r>
          </w:p>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restart"/>
            <w:tcBorders>
              <w:top w:val="nil"/>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详见相应项目绩效自评表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2</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3</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4</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bl>
    <w:p>
      <w:pPr>
        <w:autoSpaceDE w:val="0"/>
        <w:autoSpaceDN w:val="0"/>
        <w:adjustRightInd w:val="0"/>
        <w:spacing w:line="560" w:lineRule="exact"/>
        <w:jc w:val="center"/>
        <w:rPr>
          <w:rFonts w:hint="eastAsia" w:ascii="黑体" w:hAnsi="黑体" w:eastAsia="黑体" w:cs="仿宋_GB2312"/>
          <w:color w:val="auto"/>
          <w:kern w:val="0"/>
          <w:sz w:val="32"/>
          <w:szCs w:val="32"/>
        </w:rPr>
      </w:pPr>
    </w:p>
    <w:p>
      <w:pPr>
        <w:autoSpaceDE w:val="0"/>
        <w:autoSpaceDN w:val="0"/>
        <w:adjustRightInd w:val="0"/>
        <w:spacing w:line="560" w:lineRule="exact"/>
        <w:jc w:val="center"/>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第四部分  名词解释</w:t>
      </w:r>
    </w:p>
    <w:p>
      <w:pPr>
        <w:ind w:firstLine="640"/>
        <w:rPr>
          <w:rFonts w:hint="eastAsia" w:ascii="仿宋" w:hAnsi="仿宋" w:eastAsia="仿宋" w:cs="仿宋"/>
          <w:color w:val="auto"/>
          <w:sz w:val="31"/>
          <w:szCs w:val="31"/>
        </w:rPr>
      </w:pPr>
      <w:r>
        <w:rPr>
          <w:rFonts w:hint="eastAsia" w:ascii="仿宋" w:hAnsi="仿宋" w:eastAsia="仿宋" w:cs="仿宋"/>
          <w:color w:val="auto"/>
          <w:sz w:val="31"/>
          <w:szCs w:val="31"/>
        </w:rPr>
        <w:t>一、财政拨款收入：指</w:t>
      </w:r>
      <w:r>
        <w:rPr>
          <w:rFonts w:ascii="仿宋" w:hAnsi="仿宋" w:eastAsia="仿宋" w:cs="仿宋"/>
          <w:color w:val="auto"/>
          <w:sz w:val="31"/>
          <w:u w:color="auto"/>
        </w:rPr>
        <w:t xml:space="preserve">百色部门当年拨付的资金。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二、事业收入：指事业单位开展专业业务活动及辅助活动所取得的收入。</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三、经营收入：指事业单位在专业业务活动及其辅助活动之外开展非独立核算经营活动取得的收入。</w:t>
      </w:r>
    </w:p>
    <w:p>
      <w:pPr>
        <w:ind w:firstLine="640"/>
        <w:rPr>
          <w:rFonts w:hint="eastAsia" w:ascii="仿宋" w:hAnsi="仿宋" w:eastAsia="仿宋" w:cs="仿宋"/>
          <w:color w:val="auto"/>
          <w:sz w:val="31"/>
          <w:szCs w:val="31"/>
        </w:rPr>
      </w:pPr>
      <w:r>
        <w:rPr>
          <w:rFonts w:hint="eastAsia" w:ascii="仿宋" w:hAnsi="仿宋" w:eastAsia="仿宋" w:cs="仿宋"/>
          <w:color w:val="auto"/>
          <w:sz w:val="31"/>
          <w:szCs w:val="31"/>
        </w:rPr>
        <w:t>四、其他收入：指除上述“财政拨款收入”“事业收入”“经营收入”等以外的收入。</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五、用事业基金弥补收支差额指事业单位在当年的“财政拨款收入”“事业收入”“经营收入”“其他收入”不足以安排当年支出的情况下，使用非财政拨款结余弥补本年度收支缺口的资金。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六、年初结转和结余：指以前年度尚未完成、结转到本年 按有关规定继续使用的资金。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七、结余分配：指事业单位按规定提取的职工福利基金、事业基金和缴纳的所得税，以及建设单位按规定应交回的基本建设竣工项目结余资金。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八、年末结转和结余：指本年度或以前年度预算安排、因客观条件发生变化无法按原计划实施，需要延迟到以后年度按有关规定继续使用的资金。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九、基本支出：指为保障机构正常运转、完成日常工作任务而发生的人员支出和公用支出。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十、项目支出：指在基本支出之外为完成特定行政任务和事业发展目标所发生的支出。 </w:t>
      </w:r>
    </w:p>
    <w:p>
      <w:pPr>
        <w:ind w:firstLine="640"/>
        <w:rPr>
          <w:rFonts w:hint="eastAsia" w:ascii="仿宋" w:hAnsi="仿宋" w:eastAsia="仿宋" w:cs="仿宋"/>
          <w:color w:val="auto"/>
          <w:sz w:val="31"/>
          <w:szCs w:val="31"/>
        </w:rPr>
      </w:pPr>
      <w:r>
        <w:rPr>
          <w:rFonts w:hint="eastAsia" w:ascii="仿宋" w:hAnsi="仿宋" w:eastAsia="仿宋" w:cs="仿宋"/>
          <w:color w:val="auto"/>
          <w:sz w:val="31"/>
          <w:szCs w:val="31"/>
        </w:rPr>
        <w:t>十一、经营支出：指事业单位在专业业务活动及其辅助活动之外开展非独立核算经营活动发生的支出。</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十二、“三公”经费：纳入</w:t>
      </w:r>
      <w:r>
        <w:rPr>
          <w:rFonts w:ascii="仿宋" w:hAnsi="仿宋" w:eastAsia="仿宋" w:cs="仿宋"/>
          <w:color w:val="auto"/>
          <w:sz w:val="31"/>
          <w:u w:color="auto"/>
        </w:rPr>
        <w:t xml:space="preserve">百色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8AC5AE-961F-43CD-BAF5-898B44B3C555}"/>
  </w:font>
  <w:font w:name="黑体">
    <w:panose1 w:val="02010609060101010101"/>
    <w:charset w:val="86"/>
    <w:family w:val="auto"/>
    <w:pitch w:val="default"/>
    <w:sig w:usb0="800002BF" w:usb1="38CF7CFA" w:usb2="00000016" w:usb3="00000000" w:csb0="00040001" w:csb1="00000000"/>
    <w:embedRegular r:id="rId2" w:fontKey="{80D35AF2-0A0E-4647-9691-DE3C3FAD5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C982BDC-0759-4831-A13D-7CB4DB48DF9E}"/>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embedRegular r:id="rId4" w:fontKey="{0F2F8891-1E3D-4D9C-A206-8C3F727A0CD8}"/>
  </w:font>
  <w:font w:name="ArialUnicodeMS">
    <w:altName w:val="宋体"/>
    <w:panose1 w:val="00000000000000000000"/>
    <w:charset w:val="86"/>
    <w:family w:val="auto"/>
    <w:pitch w:val="default"/>
    <w:sig w:usb0="00000000" w:usb1="00000000" w:usb2="00000010" w:usb3="00000000" w:csb0="00040000" w:csb1="00000000"/>
    <w:embedRegular r:id="rId5" w:fontKey="{CD58141D-131C-48D1-AF46-40C346EB9114}"/>
  </w:font>
  <w:font w:name="方正小标宋简体">
    <w:panose1 w:val="02000000000000000000"/>
    <w:charset w:val="86"/>
    <w:family w:val="auto"/>
    <w:pitch w:val="default"/>
    <w:sig w:usb0="00000001" w:usb1="08000000" w:usb2="00000000" w:usb3="00000000" w:csb0="00040000" w:csb1="00000000"/>
    <w:embedRegular r:id="rId6" w:fontKey="{6124A5E9-6A2E-40E1-91B6-3796A0A16248}"/>
  </w:font>
  <w:font w:name="微软雅黑">
    <w:panose1 w:val="020B0503020204020204"/>
    <w:charset w:val="86"/>
    <w:family w:val="swiss"/>
    <w:pitch w:val="default"/>
    <w:sig w:usb0="80000287" w:usb1="2ACF3C50" w:usb2="00000016" w:usb3="00000000" w:csb0="0004001F" w:csb1="00000000"/>
    <w:embedRegular r:id="rId7" w:fontKey="{FF133399-D835-4995-B6C9-B796C1031F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95B8"/>
    <w:multiLevelType w:val="singleLevel"/>
    <w:tmpl w:val="EA8295B8"/>
    <w:lvl w:ilvl="0" w:tentative="0">
      <w:start w:val="1"/>
      <w:numFmt w:val="chineseCounting"/>
      <w:suff w:val="nothing"/>
      <w:lvlText w:val="（%1）"/>
      <w:lvlJc w:val="left"/>
      <w:rPr>
        <w:rFonts w:hint="eastAsia"/>
      </w:rPr>
    </w:lvl>
  </w:abstractNum>
  <w:abstractNum w:abstractNumId="1">
    <w:nsid w:val="3277D102"/>
    <w:multiLevelType w:val="multilevel"/>
    <w:tmpl w:val="3277D102"/>
    <w:lvl w:ilvl="0" w:tentative="0">
      <w:start w:val="1"/>
      <w:numFmt w:val="chineseCounting"/>
      <w:suff w:val="nothing"/>
      <w:lvlText w:val="%1、"/>
      <w:lvlJc w:val="left"/>
      <w:pPr>
        <w:tabs>
          <w:tab w:val="left" w:pos="0"/>
        </w:tabs>
        <w:ind w:left="0" w:firstLine="0"/>
      </w:pPr>
      <w:rPr>
        <w:rFonts w:hint="eastAsia" w:ascii="宋体" w:hAnsi="宋体" w:eastAsia="黑体" w:cs="宋体"/>
        <w:sz w:val="32"/>
      </w:rPr>
    </w:lvl>
    <w:lvl w:ilvl="1" w:tentative="0">
      <w:start w:val="1"/>
      <w:numFmt w:val="chineseCounting"/>
      <w:pStyle w:val="3"/>
      <w:suff w:val="nothing"/>
      <w:lvlText w:val="（%2）"/>
      <w:lvlJc w:val="left"/>
      <w:pPr>
        <w:tabs>
          <w:tab w:val="left" w:pos="0"/>
        </w:tabs>
        <w:ind w:left="0" w:firstLine="0"/>
      </w:pPr>
      <w:rPr>
        <w:rFonts w:hint="eastAsia" w:ascii="宋体" w:hAnsi="宋体" w:eastAsia="仿宋" w:cs="宋体"/>
        <w:b/>
        <w:sz w:val="32"/>
      </w:rPr>
    </w:lvl>
    <w:lvl w:ilvl="2" w:tentative="0">
      <w:start w:val="1"/>
      <w:numFmt w:val="decimal"/>
      <w:suff w:val="nothing"/>
      <w:lvlText w:val="%3．"/>
      <w:lvlJc w:val="left"/>
      <w:pPr>
        <w:tabs>
          <w:tab w:val="left" w:pos="0"/>
        </w:tabs>
        <w:ind w:left="0" w:firstLine="0"/>
      </w:pPr>
      <w:rPr>
        <w:rFonts w:hint="eastAsia" w:ascii="Times New Roman" w:hAnsi="Times New Roman" w:eastAsia="仿宋" w:cs="宋体"/>
        <w:b/>
        <w:sz w:val="30"/>
      </w:rPr>
    </w:lvl>
    <w:lvl w:ilvl="3" w:tentative="0">
      <w:start w:val="1"/>
      <w:numFmt w:val="decimal"/>
      <w:suff w:val="nothing"/>
      <w:lvlText w:val="（%4）"/>
      <w:lvlJc w:val="left"/>
      <w:pPr>
        <w:tabs>
          <w:tab w:val="left" w:pos="0"/>
        </w:tabs>
        <w:ind w:left="0" w:firstLine="0"/>
      </w:pPr>
      <w:rPr>
        <w:rFonts w:hint="eastAsia" w:ascii="Times New Roman" w:hAnsi="Times New Roman" w:eastAsia="仿宋" w:cs="宋体"/>
        <w:b/>
        <w:sz w:val="28"/>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B2EABC5"/>
    <w:multiLevelType w:val="singleLevel"/>
    <w:tmpl w:val="3B2EABC5"/>
    <w:lvl w:ilvl="0" w:tentative="0">
      <w:start w:val="1"/>
      <w:numFmt w:val="decimal"/>
      <w:lvlText w:val="(%1)"/>
      <w:lvlJc w:val="left"/>
      <w:pPr>
        <w:tabs>
          <w:tab w:val="left" w:pos="312"/>
        </w:tabs>
        <w:ind w:left="155"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YzU3NDMzMTg5YWVkOWUyOGQ2MTNjZTUzNTcxODAifQ=="/>
  </w:docVars>
  <w:rsids>
    <w:rsidRoot w:val="00C9591D"/>
    <w:rsid w:val="00004337"/>
    <w:rsid w:val="001A343B"/>
    <w:rsid w:val="005C6527"/>
    <w:rsid w:val="005D21B5"/>
    <w:rsid w:val="00641570"/>
    <w:rsid w:val="00901EFC"/>
    <w:rsid w:val="00A25D43"/>
    <w:rsid w:val="00A717D4"/>
    <w:rsid w:val="00B561ED"/>
    <w:rsid w:val="00C9591D"/>
    <w:rsid w:val="00E0770D"/>
    <w:rsid w:val="00E73AFE"/>
    <w:rsid w:val="00EB5C43"/>
    <w:rsid w:val="010E1127"/>
    <w:rsid w:val="013C06BC"/>
    <w:rsid w:val="016E54D2"/>
    <w:rsid w:val="01782E3F"/>
    <w:rsid w:val="01C120D0"/>
    <w:rsid w:val="02104022"/>
    <w:rsid w:val="023B4412"/>
    <w:rsid w:val="02DC5CB3"/>
    <w:rsid w:val="032B5FEF"/>
    <w:rsid w:val="0334297A"/>
    <w:rsid w:val="03A52548"/>
    <w:rsid w:val="03BC7E2E"/>
    <w:rsid w:val="04243DB5"/>
    <w:rsid w:val="042F4508"/>
    <w:rsid w:val="04BF763A"/>
    <w:rsid w:val="04C904B8"/>
    <w:rsid w:val="04FF1F9F"/>
    <w:rsid w:val="066E1317"/>
    <w:rsid w:val="06BD229F"/>
    <w:rsid w:val="07175632"/>
    <w:rsid w:val="076745CB"/>
    <w:rsid w:val="07CF5DE6"/>
    <w:rsid w:val="087819DE"/>
    <w:rsid w:val="08C03D58"/>
    <w:rsid w:val="0A03621B"/>
    <w:rsid w:val="0A3A1862"/>
    <w:rsid w:val="0A6D26C1"/>
    <w:rsid w:val="0A761D9A"/>
    <w:rsid w:val="0ADD6A6C"/>
    <w:rsid w:val="0AFF2E86"/>
    <w:rsid w:val="0B1F0E32"/>
    <w:rsid w:val="0B776EC0"/>
    <w:rsid w:val="0BBA0474"/>
    <w:rsid w:val="0D0E73B0"/>
    <w:rsid w:val="0D57599F"/>
    <w:rsid w:val="0D83393E"/>
    <w:rsid w:val="0DC42165"/>
    <w:rsid w:val="0E172435"/>
    <w:rsid w:val="0E56100F"/>
    <w:rsid w:val="0EC00B7E"/>
    <w:rsid w:val="0EC266A4"/>
    <w:rsid w:val="0EC56195"/>
    <w:rsid w:val="0F423341"/>
    <w:rsid w:val="0F6D029D"/>
    <w:rsid w:val="0F713C26"/>
    <w:rsid w:val="0FDF5034"/>
    <w:rsid w:val="104F1E11"/>
    <w:rsid w:val="11395683"/>
    <w:rsid w:val="119D51A7"/>
    <w:rsid w:val="11A958FA"/>
    <w:rsid w:val="11C20769"/>
    <w:rsid w:val="121328E5"/>
    <w:rsid w:val="123F4D19"/>
    <w:rsid w:val="12863E8D"/>
    <w:rsid w:val="12883761"/>
    <w:rsid w:val="137361BF"/>
    <w:rsid w:val="15027B80"/>
    <w:rsid w:val="158D63B9"/>
    <w:rsid w:val="16383C52"/>
    <w:rsid w:val="16702E8A"/>
    <w:rsid w:val="16B5089D"/>
    <w:rsid w:val="175005C5"/>
    <w:rsid w:val="181B0BD3"/>
    <w:rsid w:val="181D1E1F"/>
    <w:rsid w:val="182C45CC"/>
    <w:rsid w:val="1862520D"/>
    <w:rsid w:val="189501D2"/>
    <w:rsid w:val="19722A75"/>
    <w:rsid w:val="19D714B0"/>
    <w:rsid w:val="19E71DF4"/>
    <w:rsid w:val="1A547635"/>
    <w:rsid w:val="1A7016AA"/>
    <w:rsid w:val="1AE856E5"/>
    <w:rsid w:val="1C3A1F70"/>
    <w:rsid w:val="1C4E77C9"/>
    <w:rsid w:val="1C6F597C"/>
    <w:rsid w:val="1CC01D49"/>
    <w:rsid w:val="1CDC3779"/>
    <w:rsid w:val="1D7A3D05"/>
    <w:rsid w:val="1DAF24EA"/>
    <w:rsid w:val="1DCE4E9C"/>
    <w:rsid w:val="1DEF0B38"/>
    <w:rsid w:val="1E2851F8"/>
    <w:rsid w:val="1E4C5F8A"/>
    <w:rsid w:val="1E6A6411"/>
    <w:rsid w:val="1EDA6106"/>
    <w:rsid w:val="1F0B7BF4"/>
    <w:rsid w:val="1F1D7927"/>
    <w:rsid w:val="1F446F7A"/>
    <w:rsid w:val="20947DAF"/>
    <w:rsid w:val="20A756FA"/>
    <w:rsid w:val="20AC7E9E"/>
    <w:rsid w:val="21735783"/>
    <w:rsid w:val="21ED35E0"/>
    <w:rsid w:val="223A2D60"/>
    <w:rsid w:val="227349F6"/>
    <w:rsid w:val="22B77DB2"/>
    <w:rsid w:val="23447230"/>
    <w:rsid w:val="24466FD8"/>
    <w:rsid w:val="247010E2"/>
    <w:rsid w:val="25597366"/>
    <w:rsid w:val="2561056D"/>
    <w:rsid w:val="25624FED"/>
    <w:rsid w:val="25C66622"/>
    <w:rsid w:val="25CB5E03"/>
    <w:rsid w:val="2624159B"/>
    <w:rsid w:val="26395046"/>
    <w:rsid w:val="26A83F7A"/>
    <w:rsid w:val="270F5DA7"/>
    <w:rsid w:val="272A0E33"/>
    <w:rsid w:val="273D0B66"/>
    <w:rsid w:val="274E4D44"/>
    <w:rsid w:val="27B64A81"/>
    <w:rsid w:val="27DC037F"/>
    <w:rsid w:val="28235F0B"/>
    <w:rsid w:val="288325A9"/>
    <w:rsid w:val="292319AD"/>
    <w:rsid w:val="2A7A3E7F"/>
    <w:rsid w:val="2A885BC1"/>
    <w:rsid w:val="2A9071FF"/>
    <w:rsid w:val="2ABA24CE"/>
    <w:rsid w:val="2BEA7520"/>
    <w:rsid w:val="2C513B81"/>
    <w:rsid w:val="2CF47F19"/>
    <w:rsid w:val="2D097FBD"/>
    <w:rsid w:val="2E334A71"/>
    <w:rsid w:val="2EFC1307"/>
    <w:rsid w:val="2F2653C1"/>
    <w:rsid w:val="2FFC72B0"/>
    <w:rsid w:val="30313232"/>
    <w:rsid w:val="30970224"/>
    <w:rsid w:val="316C361E"/>
    <w:rsid w:val="318F6462"/>
    <w:rsid w:val="31A33CBC"/>
    <w:rsid w:val="31E42251"/>
    <w:rsid w:val="32340893"/>
    <w:rsid w:val="332901F1"/>
    <w:rsid w:val="3338220B"/>
    <w:rsid w:val="335A484E"/>
    <w:rsid w:val="33AD5A11"/>
    <w:rsid w:val="345D1EA3"/>
    <w:rsid w:val="362F2524"/>
    <w:rsid w:val="36407D2B"/>
    <w:rsid w:val="36527A5E"/>
    <w:rsid w:val="3684230E"/>
    <w:rsid w:val="36CA3A99"/>
    <w:rsid w:val="36CC7811"/>
    <w:rsid w:val="37184804"/>
    <w:rsid w:val="372633C5"/>
    <w:rsid w:val="37985945"/>
    <w:rsid w:val="379E11AD"/>
    <w:rsid w:val="37D84221"/>
    <w:rsid w:val="37F76B0F"/>
    <w:rsid w:val="386677F1"/>
    <w:rsid w:val="386F2B4A"/>
    <w:rsid w:val="38710670"/>
    <w:rsid w:val="38B22A36"/>
    <w:rsid w:val="38B642D4"/>
    <w:rsid w:val="39040613"/>
    <w:rsid w:val="39A700C1"/>
    <w:rsid w:val="3A0F2EAC"/>
    <w:rsid w:val="3A3A0F35"/>
    <w:rsid w:val="3AD9074E"/>
    <w:rsid w:val="3B487DD2"/>
    <w:rsid w:val="3BEF7718"/>
    <w:rsid w:val="3C3D701D"/>
    <w:rsid w:val="3CC527C1"/>
    <w:rsid w:val="3D4A76E1"/>
    <w:rsid w:val="3D51281E"/>
    <w:rsid w:val="3DBD6105"/>
    <w:rsid w:val="3DD47A3F"/>
    <w:rsid w:val="3E9055C8"/>
    <w:rsid w:val="3EC314F9"/>
    <w:rsid w:val="3F6A6298"/>
    <w:rsid w:val="4033511A"/>
    <w:rsid w:val="40794B35"/>
    <w:rsid w:val="41BB6E00"/>
    <w:rsid w:val="41EC520B"/>
    <w:rsid w:val="42562684"/>
    <w:rsid w:val="42787C0A"/>
    <w:rsid w:val="42B32F81"/>
    <w:rsid w:val="42C46168"/>
    <w:rsid w:val="43374264"/>
    <w:rsid w:val="442742D8"/>
    <w:rsid w:val="44352E99"/>
    <w:rsid w:val="44D8093C"/>
    <w:rsid w:val="452A22D2"/>
    <w:rsid w:val="455813AE"/>
    <w:rsid w:val="45603590"/>
    <w:rsid w:val="456E4E81"/>
    <w:rsid w:val="45921C25"/>
    <w:rsid w:val="460F771A"/>
    <w:rsid w:val="468266D9"/>
    <w:rsid w:val="47A0687C"/>
    <w:rsid w:val="47A143A2"/>
    <w:rsid w:val="47C17CFE"/>
    <w:rsid w:val="48AB197C"/>
    <w:rsid w:val="4A176B9D"/>
    <w:rsid w:val="4A3B6D2F"/>
    <w:rsid w:val="4BAF1783"/>
    <w:rsid w:val="4C123AC0"/>
    <w:rsid w:val="4C373527"/>
    <w:rsid w:val="4C8B3DD4"/>
    <w:rsid w:val="4D041640"/>
    <w:rsid w:val="4D460313"/>
    <w:rsid w:val="4D472FA1"/>
    <w:rsid w:val="4D476A5E"/>
    <w:rsid w:val="4DA92202"/>
    <w:rsid w:val="4E437F61"/>
    <w:rsid w:val="4E477DF6"/>
    <w:rsid w:val="4E73063A"/>
    <w:rsid w:val="4F844CD5"/>
    <w:rsid w:val="4FE65048"/>
    <w:rsid w:val="4FFC0D0F"/>
    <w:rsid w:val="50052FF4"/>
    <w:rsid w:val="500E459E"/>
    <w:rsid w:val="5041514D"/>
    <w:rsid w:val="52075749"/>
    <w:rsid w:val="52CA0F7A"/>
    <w:rsid w:val="539D45B7"/>
    <w:rsid w:val="53B1058C"/>
    <w:rsid w:val="541859EC"/>
    <w:rsid w:val="543D36A4"/>
    <w:rsid w:val="544E765F"/>
    <w:rsid w:val="546539A9"/>
    <w:rsid w:val="54972199"/>
    <w:rsid w:val="54B73456"/>
    <w:rsid w:val="55937A20"/>
    <w:rsid w:val="55AB748F"/>
    <w:rsid w:val="55DD0209"/>
    <w:rsid w:val="55E42029"/>
    <w:rsid w:val="563310BE"/>
    <w:rsid w:val="56666585"/>
    <w:rsid w:val="569A3030"/>
    <w:rsid w:val="56A1616C"/>
    <w:rsid w:val="57541431"/>
    <w:rsid w:val="57ED28E9"/>
    <w:rsid w:val="58112E7E"/>
    <w:rsid w:val="581D4903"/>
    <w:rsid w:val="583214E0"/>
    <w:rsid w:val="58CC1389"/>
    <w:rsid w:val="58D75E75"/>
    <w:rsid w:val="59063EF6"/>
    <w:rsid w:val="59101751"/>
    <w:rsid w:val="59701E26"/>
    <w:rsid w:val="5991139A"/>
    <w:rsid w:val="59D7060E"/>
    <w:rsid w:val="59E545C2"/>
    <w:rsid w:val="5A674620"/>
    <w:rsid w:val="5A7A6A7D"/>
    <w:rsid w:val="5AA026E6"/>
    <w:rsid w:val="5AF8590C"/>
    <w:rsid w:val="5B880E7C"/>
    <w:rsid w:val="5BB92FBA"/>
    <w:rsid w:val="5C7F0CFE"/>
    <w:rsid w:val="5D1F428F"/>
    <w:rsid w:val="5E59732C"/>
    <w:rsid w:val="5E5F3717"/>
    <w:rsid w:val="5F1F2324"/>
    <w:rsid w:val="5F3F6522"/>
    <w:rsid w:val="5FB57FD0"/>
    <w:rsid w:val="5FE61094"/>
    <w:rsid w:val="601804C5"/>
    <w:rsid w:val="604C7149"/>
    <w:rsid w:val="6057789C"/>
    <w:rsid w:val="60DD4245"/>
    <w:rsid w:val="614D13CA"/>
    <w:rsid w:val="61E3614F"/>
    <w:rsid w:val="61F061FA"/>
    <w:rsid w:val="634C7460"/>
    <w:rsid w:val="642B2244"/>
    <w:rsid w:val="64330CDF"/>
    <w:rsid w:val="64805613"/>
    <w:rsid w:val="64DB0A9B"/>
    <w:rsid w:val="65CD36ED"/>
    <w:rsid w:val="65D42AD7"/>
    <w:rsid w:val="66061B48"/>
    <w:rsid w:val="66767C55"/>
    <w:rsid w:val="66FB3677"/>
    <w:rsid w:val="677C6D9D"/>
    <w:rsid w:val="67D6379C"/>
    <w:rsid w:val="67F41FE9"/>
    <w:rsid w:val="68085778"/>
    <w:rsid w:val="688A4CB2"/>
    <w:rsid w:val="6A3824EC"/>
    <w:rsid w:val="6AD96E0B"/>
    <w:rsid w:val="6B182670"/>
    <w:rsid w:val="6B361121"/>
    <w:rsid w:val="6B3B6738"/>
    <w:rsid w:val="6B6537B4"/>
    <w:rsid w:val="6B7C1B7E"/>
    <w:rsid w:val="6C0F54CE"/>
    <w:rsid w:val="6C865790"/>
    <w:rsid w:val="6CCE7137"/>
    <w:rsid w:val="6D090170"/>
    <w:rsid w:val="6D237483"/>
    <w:rsid w:val="6D8C327A"/>
    <w:rsid w:val="6D992FE7"/>
    <w:rsid w:val="6DBF6C55"/>
    <w:rsid w:val="6DCD7245"/>
    <w:rsid w:val="6E0340F1"/>
    <w:rsid w:val="6E1D2124"/>
    <w:rsid w:val="6E49116B"/>
    <w:rsid w:val="6E6D2905"/>
    <w:rsid w:val="6EAE1443"/>
    <w:rsid w:val="6F0D4695"/>
    <w:rsid w:val="6F40431D"/>
    <w:rsid w:val="6F563B40"/>
    <w:rsid w:val="6FD66A2F"/>
    <w:rsid w:val="71BE777B"/>
    <w:rsid w:val="722C6DDA"/>
    <w:rsid w:val="72D8486C"/>
    <w:rsid w:val="72E23E9F"/>
    <w:rsid w:val="74275AAB"/>
    <w:rsid w:val="74DE68E8"/>
    <w:rsid w:val="751F6782"/>
    <w:rsid w:val="758D7B90"/>
    <w:rsid w:val="75CB06B8"/>
    <w:rsid w:val="76353E94"/>
    <w:rsid w:val="76424E1E"/>
    <w:rsid w:val="767F4D5D"/>
    <w:rsid w:val="76BF646F"/>
    <w:rsid w:val="78063C29"/>
    <w:rsid w:val="782C7B34"/>
    <w:rsid w:val="78D43D28"/>
    <w:rsid w:val="78F45A6B"/>
    <w:rsid w:val="7961380D"/>
    <w:rsid w:val="79D93881"/>
    <w:rsid w:val="7A8C079F"/>
    <w:rsid w:val="7B1728DD"/>
    <w:rsid w:val="7BBC2F7D"/>
    <w:rsid w:val="7C002276"/>
    <w:rsid w:val="7C0466D2"/>
    <w:rsid w:val="7C134B67"/>
    <w:rsid w:val="7C3A1BEA"/>
    <w:rsid w:val="7C4259AE"/>
    <w:rsid w:val="7CAA1027"/>
    <w:rsid w:val="7CCF4F32"/>
    <w:rsid w:val="7D662CB3"/>
    <w:rsid w:val="7D984F94"/>
    <w:rsid w:val="7E7318ED"/>
    <w:rsid w:val="7EC64112"/>
    <w:rsid w:val="7ECD2C87"/>
    <w:rsid w:val="7F2D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numPr>
        <w:ilvl w:val="1"/>
        <w:numId w:val="1"/>
      </w:numPr>
      <w:spacing w:before="50" w:beforeLines="50"/>
      <w:ind w:firstLine="560"/>
      <w:outlineLvl w:val="1"/>
    </w:pPr>
    <w:rPr>
      <w:rFonts w:eastAsia="楷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6353</Words>
  <Characters>14018</Characters>
  <Lines>81</Lines>
  <Paragraphs>22</Paragraphs>
  <TotalTime>27</TotalTime>
  <ScaleCrop>false</ScaleCrop>
  <LinksUpToDate>false</LinksUpToDate>
  <CharactersWithSpaces>14161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妍妍</cp:lastModifiedBy>
  <cp:lastPrinted>2023-09-27T10:03:00Z</cp:lastPrinted>
  <dcterms:modified xsi:type="dcterms:W3CDTF">2023-09-29T07:41:16Z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93BAEC569AD54C08BC3D4485B5ACCC7C_13</vt:lpwstr>
  </property>
</Properties>
</file>